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E8" w:rsidRPr="009167E8" w:rsidRDefault="009167E8" w:rsidP="009167E8">
      <w:pPr>
        <w:pBdr>
          <w:bottom w:val="single" w:sz="6" w:space="11" w:color="BDC9D1"/>
        </w:pBdr>
        <w:shd w:val="clear" w:color="auto" w:fill="FFFFFF"/>
        <w:spacing w:after="375" w:line="264" w:lineRule="atLeast"/>
        <w:outlineLvl w:val="2"/>
        <w:rPr>
          <w:rFonts w:ascii="Tahoma" w:eastAsia="Times New Roman" w:hAnsi="Tahoma" w:cs="Tahoma"/>
          <w:color w:val="0F69B4"/>
          <w:kern w:val="0"/>
          <w:sz w:val="48"/>
          <w:szCs w:val="48"/>
          <w:lang w:eastAsia="es-MX"/>
          <w14:ligatures w14:val="none"/>
        </w:rPr>
      </w:pPr>
      <w:r w:rsidRPr="009167E8">
        <w:rPr>
          <w:rFonts w:ascii="Tahoma" w:eastAsia="Times New Roman" w:hAnsi="Tahoma" w:cs="Tahoma"/>
          <w:color w:val="0F69B4"/>
          <w:kern w:val="0"/>
          <w:sz w:val="48"/>
          <w:szCs w:val="48"/>
          <w:lang w:eastAsia="es-MX"/>
          <w14:ligatures w14:val="none"/>
        </w:rPr>
        <w:t xml:space="preserve">COVID-19: </w:t>
      </w:r>
      <w:r w:rsidR="00DA07C9">
        <w:rPr>
          <w:rFonts w:ascii="Tahoma" w:eastAsia="Times New Roman" w:hAnsi="Tahoma" w:cs="Tahoma"/>
          <w:color w:val="0F69B4"/>
          <w:kern w:val="0"/>
          <w:sz w:val="48"/>
          <w:szCs w:val="48"/>
          <w:lang w:eastAsia="es-MX"/>
          <w14:ligatures w14:val="none"/>
        </w:rPr>
        <w:t>Casos confirmados disminuyen en 26,3% en la última semana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El Ministerio de Salud informa que los casos nuevos confirmados a nivel nacional disminuyen en </w:t>
      </w:r>
      <w:r w:rsidRPr="00DA07C9">
        <w:rPr>
          <w:rFonts w:ascii="Arial" w:hAnsi="Arial" w:cs="Arial"/>
        </w:rPr>
        <w:t xml:space="preserve">26,3%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en la última semana, mientras que en los últimos 14 días se reducen en </w:t>
      </w:r>
      <w:r w:rsidRPr="00DA07C9">
        <w:rPr>
          <w:rFonts w:ascii="Arial" w:hAnsi="Arial" w:cs="Arial"/>
        </w:rPr>
        <w:t>53,6%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. Además, </w:t>
      </w:r>
      <w:r w:rsidR="00EC15B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doce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regiones bajan sus casos en los últimos siete días y todas en las últimas dos semanas.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El reporte de casos de este </w:t>
      </w:r>
      <w:r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martes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</w:t>
      </w:r>
      <w:r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23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de mayo registra </w:t>
      </w:r>
      <w:r w:rsidRPr="00DA07C9">
        <w:rPr>
          <w:rFonts w:ascii="Arial" w:hAnsi="Arial" w:cs="Arial"/>
        </w:rPr>
        <w:t xml:space="preserve">30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casos nuevos de COVID-19, con una positividad de </w:t>
      </w:r>
      <w:r w:rsidRPr="00DA07C9">
        <w:rPr>
          <w:rFonts w:ascii="Arial" w:hAnsi="Arial" w:cs="Arial"/>
        </w:rPr>
        <w:t>0,7</w:t>
      </w:r>
      <w:r w:rsidR="00EC15B9">
        <w:rPr>
          <w:rFonts w:ascii="Arial" w:hAnsi="Arial" w:cs="Arial"/>
        </w:rPr>
        <w:t>0</w:t>
      </w:r>
      <w:bookmarkStart w:id="0" w:name="_GoBack"/>
      <w:bookmarkEnd w:id="0"/>
      <w:r w:rsidRPr="00DA07C9">
        <w:rPr>
          <w:rFonts w:ascii="Arial" w:hAnsi="Arial" w:cs="Arial"/>
        </w:rPr>
        <w:t xml:space="preserve">%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en las últimas 24 horas a nivel nacional, con </w:t>
      </w:r>
      <w:r w:rsidRPr="00DA07C9">
        <w:rPr>
          <w:rFonts w:ascii="Arial" w:hAnsi="Arial" w:cs="Arial"/>
        </w:rPr>
        <w:t xml:space="preserve">5.018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exámenes, PCR y test de antígeno. La positividad diaria en la Región Metropolitana es de </w:t>
      </w:r>
      <w:r w:rsidRPr="00DA07C9">
        <w:rPr>
          <w:rFonts w:ascii="Arial" w:hAnsi="Arial" w:cs="Arial"/>
        </w:rPr>
        <w:t>0,76%.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De los </w:t>
      </w:r>
      <w:r w:rsidRPr="00DA07C9">
        <w:rPr>
          <w:rFonts w:ascii="Arial" w:hAnsi="Arial" w:cs="Arial"/>
        </w:rPr>
        <w:t xml:space="preserve">30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casos nuevos, un </w:t>
      </w:r>
      <w:r w:rsidRPr="00DA07C9">
        <w:rPr>
          <w:rFonts w:ascii="Arial" w:hAnsi="Arial" w:cs="Arial"/>
        </w:rPr>
        <w:t>50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% se diagnostica por test de antígeno, un </w:t>
      </w:r>
      <w:r w:rsidRPr="00DA07C9">
        <w:rPr>
          <w:rFonts w:ascii="Arial" w:hAnsi="Arial" w:cs="Arial"/>
        </w:rPr>
        <w:t>30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% se origina por búsqueda activa de casos (BAC) y un </w:t>
      </w:r>
      <w:r w:rsidRPr="00DA07C9">
        <w:rPr>
          <w:rFonts w:ascii="Arial" w:hAnsi="Arial" w:cs="Arial"/>
        </w:rPr>
        <w:t>19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% de los notificados son asintomáticos. En cuanto a la Región Metropolitana presenta un </w:t>
      </w:r>
      <w:r w:rsidRPr="00DA07C9">
        <w:rPr>
          <w:rFonts w:ascii="Arial" w:hAnsi="Arial" w:cs="Arial"/>
        </w:rPr>
        <w:t>40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% por antígeno, un </w:t>
      </w:r>
      <w:r w:rsidRPr="00DA07C9">
        <w:rPr>
          <w:rFonts w:ascii="Arial" w:hAnsi="Arial" w:cs="Arial"/>
        </w:rPr>
        <w:t>40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% por BAC y </w:t>
      </w:r>
      <w:r w:rsidRPr="00DA07C9">
        <w:rPr>
          <w:rFonts w:ascii="Arial" w:hAnsi="Arial" w:cs="Arial"/>
        </w:rPr>
        <w:t>33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% de los casos notificados son asintomáticos.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Según toma de muestra, las regiones con mayor positividad en la última semana son Tarapacá, Atacama, 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Antofagasta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y Valparaíso.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En tanto, la región de Atacama tiene la tasa de incidencia actual más alta por 100 mil habitantes, seguida por Tarapacá, 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Valparaíso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y Arica y Parinacota.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b/>
          <w:bCs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b/>
          <w:bCs/>
          <w:color w:val="475156"/>
          <w:kern w:val="0"/>
          <w:lang w:eastAsia="es-MX"/>
          <w14:ligatures w14:val="none"/>
        </w:rPr>
        <w:t>Reporte diario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Según el reporte de hoy, de los </w:t>
      </w:r>
      <w:r w:rsidR="008E2F68" w:rsidRPr="00DA07C9">
        <w:rPr>
          <w:rFonts w:ascii="Arial" w:hAnsi="Arial" w:cs="Arial"/>
        </w:rPr>
        <w:t xml:space="preserve">30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casos nuevos de COVID-19, </w:t>
      </w:r>
      <w:r w:rsidR="008E2F68" w:rsidRPr="00DA07C9">
        <w:rPr>
          <w:rFonts w:ascii="Arial" w:hAnsi="Arial" w:cs="Arial"/>
        </w:rPr>
        <w:t xml:space="preserve">13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corresponden a personas sintomáticas y </w:t>
      </w:r>
      <w:r w:rsidR="008E2F68" w:rsidRPr="00DA07C9">
        <w:rPr>
          <w:rFonts w:ascii="Arial" w:hAnsi="Arial" w:cs="Arial"/>
        </w:rPr>
        <w:t>3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no presentan síntomas. Además, se registraron 14 test PCR Positivo que no fueron notificados.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lastRenderedPageBreak/>
        <w:t xml:space="preserve">La cifra total de personas que han sido diagnosticadas con COVID-19 en el país alcanza las </w:t>
      </w:r>
      <w:r w:rsidR="008E2F68" w:rsidRPr="00DA07C9">
        <w:rPr>
          <w:rFonts w:ascii="Arial" w:hAnsi="Arial" w:cs="Arial"/>
        </w:rPr>
        <w:t>5.286.964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. De ese total, </w:t>
      </w:r>
      <w:r w:rsidR="008E2F68" w:rsidRPr="00DA07C9">
        <w:rPr>
          <w:rFonts w:ascii="Arial" w:hAnsi="Arial" w:cs="Arial"/>
        </w:rPr>
        <w:t xml:space="preserve">155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pacientes se encuentran en etapa activa, considerando un aislamiento de 5 días desde el inicio de síntomas o desde la toma del test, según criterio de fase de Apertura. Los casos recuperados son </w:t>
      </w:r>
      <w:r w:rsidR="008E2F68" w:rsidRPr="00DA07C9">
        <w:rPr>
          <w:rFonts w:ascii="Arial" w:hAnsi="Arial" w:cs="Arial"/>
        </w:rPr>
        <w:t>5.194.148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En cuanto a los decesos, de acuerdo con la información entregada por el Departamento de Estadística e Información de Salud (DEIS), se registra</w:t>
      </w:r>
      <w:r w:rsidR="00EC15B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n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2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fallecidos por causas asociadas al COVID-19. El número total de fallecidos asciende a </w:t>
      </w:r>
      <w:r w:rsidR="008E2F68" w:rsidRPr="00DA07C9">
        <w:rPr>
          <w:rFonts w:ascii="Arial" w:hAnsi="Arial" w:cs="Arial"/>
        </w:rPr>
        <w:t xml:space="preserve">61.499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en el país.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Al día de ayer, 33 personas se encontraban hospitalizadas en Unidades de Cuidados Intensivos, de las cuales 23 permanecían con apoyo de ventilación mecánica. Con relación a la Red Integrada de Salud, existe un total de </w:t>
      </w:r>
      <w:r w:rsidR="008E2F68" w:rsidRPr="00DA07C9">
        <w:rPr>
          <w:rFonts w:ascii="Arial" w:hAnsi="Arial" w:cs="Arial"/>
        </w:rPr>
        <w:t xml:space="preserve">237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camas críticas disponibles para el paciente que lo requiera, independiente de la región donde se encuentre.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Respecto a la Red de Laboratorios y la capacidad diagnóstica, ayer se informaron los resultados de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</w:t>
      </w:r>
      <w:r w:rsidR="008E2F68" w:rsidRPr="00DA07C9">
        <w:rPr>
          <w:rFonts w:ascii="Arial" w:hAnsi="Arial" w:cs="Arial"/>
        </w:rPr>
        <w:t xml:space="preserve">5.018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exámenes PCR y test antígeno, alcanzando a la fecha un total de </w:t>
      </w:r>
      <w:r w:rsidR="008E2F68" w:rsidRPr="00DA07C9">
        <w:rPr>
          <w:rFonts w:ascii="Arial" w:hAnsi="Arial" w:cs="Arial"/>
        </w:rPr>
        <w:t xml:space="preserve">49.611.218  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analizados a nivel nacional. La positividad para las últimas 24 horas a nivel país es de </w:t>
      </w:r>
      <w:r w:rsidR="008E2F68" w:rsidRPr="00DA07C9">
        <w:rPr>
          <w:rFonts w:ascii="Arial" w:hAnsi="Arial" w:cs="Arial"/>
        </w:rPr>
        <w:t>0,70%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y en la Región Metropolitana es de </w:t>
      </w:r>
      <w:r w:rsidR="008E2F68" w:rsidRPr="00DA07C9">
        <w:rPr>
          <w:rFonts w:ascii="Arial" w:hAnsi="Arial" w:cs="Arial"/>
        </w:rPr>
        <w:t>0,76%.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Con respecto a las Residencias Sanitarias, disponemos de 3 recintos de hospedaje, con 133 camas totales. La ocupación real a nivel nacional es de un 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3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%, quedando un total de 11</w:t>
      </w:r>
      <w:r w:rsidR="008E2F68" w:rsidRPr="00DA07C9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0</w:t>
      </w: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 xml:space="preserve"> camas disponibles para ser utilizadas.</w:t>
      </w:r>
    </w:p>
    <w:p w:rsidR="009167E8" w:rsidRPr="009167E8" w:rsidRDefault="009167E8" w:rsidP="009167E8">
      <w:pPr>
        <w:shd w:val="clear" w:color="auto" w:fill="FFFFFF"/>
        <w:spacing w:after="375" w:line="378" w:lineRule="atLeast"/>
        <w:jc w:val="both"/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</w:pPr>
      <w:r w:rsidRPr="009167E8">
        <w:rPr>
          <w:rFonts w:ascii="Arial" w:eastAsia="Times New Roman" w:hAnsi="Arial" w:cs="Arial"/>
          <w:color w:val="475156"/>
          <w:kern w:val="0"/>
          <w:lang w:eastAsia="es-MX"/>
          <w14:ligatures w14:val="none"/>
        </w:rPr>
        <w:t>Para más información, las personas que no cuenten con las condiciones para realizar una cuarentena efectiva en su hogar y requieran trasladarse a una Residencia Sanitaria, pueden llamar al Fono 800 371 900 o ingresar al sitio web del ministerio en www.minsal.cl.</w:t>
      </w:r>
    </w:p>
    <w:p w:rsidR="009167E8" w:rsidRDefault="009167E8"/>
    <w:sectPr w:rsidR="009167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EB" w:rsidRDefault="000275EB" w:rsidP="009167E8">
      <w:r>
        <w:separator/>
      </w:r>
    </w:p>
  </w:endnote>
  <w:endnote w:type="continuationSeparator" w:id="0">
    <w:p w:rsidR="000275EB" w:rsidRDefault="000275EB" w:rsidP="0091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EB" w:rsidRDefault="000275EB" w:rsidP="009167E8">
      <w:r>
        <w:separator/>
      </w:r>
    </w:p>
  </w:footnote>
  <w:footnote w:type="continuationSeparator" w:id="0">
    <w:p w:rsidR="000275EB" w:rsidRDefault="000275EB" w:rsidP="0091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E8" w:rsidRDefault="009167E8">
    <w:pPr>
      <w:pStyle w:val="Encabezado"/>
    </w:pPr>
    <w:r>
      <w:rPr>
        <w:noProof/>
        <w:lang w:eastAsia="es-CL"/>
      </w:rPr>
      <w:drawing>
        <wp:inline distT="0" distB="0" distL="0" distR="0">
          <wp:extent cx="795321" cy="720000"/>
          <wp:effectExtent l="0" t="0" r="5080" b="4445"/>
          <wp:docPr id="173120378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1203780" name="Imagen 17312037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3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E8"/>
    <w:rsid w:val="000275EB"/>
    <w:rsid w:val="006F2930"/>
    <w:rsid w:val="008E2F68"/>
    <w:rsid w:val="009167E8"/>
    <w:rsid w:val="00DA07C9"/>
    <w:rsid w:val="00E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89B89"/>
  <w15:chartTrackingRefBased/>
  <w15:docId w15:val="{C073042A-2F78-4045-865D-C029884B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167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167E8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167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Textoennegrita">
    <w:name w:val="Strong"/>
    <w:basedOn w:val="Fuentedeprrafopredeter"/>
    <w:uiPriority w:val="22"/>
    <w:qFormat/>
    <w:rsid w:val="009167E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16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7E8"/>
  </w:style>
  <w:style w:type="paragraph" w:styleId="Piedepgina">
    <w:name w:val="footer"/>
    <w:basedOn w:val="Normal"/>
    <w:link w:val="PiedepginaCar"/>
    <w:uiPriority w:val="99"/>
    <w:unhideWhenUsed/>
    <w:rsid w:val="00916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ARMIJO OLMEDO</dc:creator>
  <cp:keywords/>
  <dc:description/>
  <cp:lastModifiedBy>Paula Ramirez Heredia</cp:lastModifiedBy>
  <cp:revision>2</cp:revision>
  <dcterms:created xsi:type="dcterms:W3CDTF">2023-05-23T20:10:00Z</dcterms:created>
  <dcterms:modified xsi:type="dcterms:W3CDTF">2023-05-23T20:10:00Z</dcterms:modified>
</cp:coreProperties>
</file>