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55" w:rsidRDefault="005B7155" w:rsidP="003B410F">
      <w:pPr>
        <w:pStyle w:val="NormalWeb"/>
        <w:shd w:val="clear" w:color="auto" w:fill="FFFFFF"/>
        <w:spacing w:before="0" w:beforeAutospacing="0" w:after="375" w:afterAutospacing="0" w:line="378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5B7155" w:rsidRDefault="005B7155" w:rsidP="003B410F">
      <w:pPr>
        <w:pStyle w:val="NormalWeb"/>
        <w:shd w:val="clear" w:color="auto" w:fill="FFFFFF"/>
        <w:spacing w:before="0" w:beforeAutospacing="0" w:after="375" w:afterAutospacing="0" w:line="378" w:lineRule="atLeast"/>
        <w:rPr>
          <w:rFonts w:asciiTheme="minorHAnsi" w:hAnsiTheme="minorHAnsi" w:cs="Arial"/>
        </w:rPr>
      </w:pPr>
    </w:p>
    <w:p w:rsidR="003B410F" w:rsidRPr="005B7155" w:rsidRDefault="003B410F" w:rsidP="005B7155">
      <w:pPr>
        <w:pStyle w:val="NormalWeb"/>
        <w:shd w:val="clear" w:color="auto" w:fill="FFFFFF"/>
        <w:spacing w:before="0" w:beforeAutospacing="0" w:after="375" w:afterAutospacing="0" w:line="378" w:lineRule="atLeast"/>
        <w:jc w:val="both"/>
        <w:rPr>
          <w:rFonts w:asciiTheme="minorHAnsi" w:hAnsiTheme="minorHAnsi" w:cs="Arial"/>
          <w:b/>
          <w:color w:val="475156"/>
        </w:rPr>
      </w:pPr>
      <w:r w:rsidRPr="005B7155">
        <w:rPr>
          <w:rFonts w:asciiTheme="minorHAnsi" w:hAnsiTheme="minorHAnsi" w:cs="Arial"/>
          <w:b/>
        </w:rPr>
        <w:t xml:space="preserve">PROPUESTA DE </w:t>
      </w:r>
      <w:r w:rsidRPr="005B7155">
        <w:rPr>
          <w:rFonts w:asciiTheme="minorHAnsi" w:hAnsiTheme="minorHAnsi" w:cs="Arial"/>
          <w:b/>
          <w:noProof/>
        </w:rPr>
        <w:t xml:space="preserve">ESTÁNDAR </w:t>
      </w:r>
      <w:r w:rsidR="00142321" w:rsidRPr="005B7155">
        <w:rPr>
          <w:rFonts w:asciiTheme="minorHAnsi" w:hAnsiTheme="minorHAnsi" w:cs="Arial"/>
          <w:b/>
          <w:noProof/>
        </w:rPr>
        <w:t xml:space="preserve">GENERAL </w:t>
      </w:r>
      <w:r w:rsidRPr="005B7155">
        <w:rPr>
          <w:rFonts w:asciiTheme="minorHAnsi" w:hAnsiTheme="minorHAnsi" w:cs="Arial"/>
          <w:b/>
          <w:noProof/>
        </w:rPr>
        <w:t xml:space="preserve">DE </w:t>
      </w:r>
      <w:r w:rsidRPr="005B7155">
        <w:rPr>
          <w:rFonts w:asciiTheme="minorHAnsi" w:hAnsiTheme="minorHAnsi" w:cs="Arial"/>
          <w:b/>
          <w:iCs/>
          <w:noProof/>
        </w:rPr>
        <w:t>ACREDITACIÓN PARA CENTROS DE SALUD MENTAL AMBULATORIA</w:t>
      </w:r>
    </w:p>
    <w:p w:rsidR="00142321" w:rsidRPr="005B7155" w:rsidRDefault="003B410F" w:rsidP="00142321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="Arial"/>
        </w:rPr>
      </w:pPr>
      <w:r w:rsidRPr="005B7155">
        <w:rPr>
          <w:rFonts w:asciiTheme="minorHAnsi" w:hAnsiTheme="minorHAnsi" w:cs="Arial"/>
        </w:rPr>
        <w:t xml:space="preserve">Esta propuesta </w:t>
      </w:r>
      <w:r w:rsidRPr="005B7155">
        <w:rPr>
          <w:rFonts w:asciiTheme="minorHAnsi" w:hAnsiTheme="minorHAnsi" w:cs="Arial"/>
          <w:noProof/>
        </w:rPr>
        <w:t xml:space="preserve">Estándar </w:t>
      </w:r>
      <w:r w:rsidR="00142321" w:rsidRPr="005B7155">
        <w:rPr>
          <w:rFonts w:asciiTheme="minorHAnsi" w:hAnsiTheme="minorHAnsi" w:cs="Arial"/>
          <w:noProof/>
        </w:rPr>
        <w:t xml:space="preserve">General </w:t>
      </w:r>
      <w:r w:rsidRPr="005B7155">
        <w:rPr>
          <w:rFonts w:asciiTheme="minorHAnsi" w:hAnsiTheme="minorHAnsi" w:cs="Arial"/>
          <w:noProof/>
        </w:rPr>
        <w:t xml:space="preserve">de </w:t>
      </w:r>
      <w:r w:rsidRPr="005B7155">
        <w:rPr>
          <w:rFonts w:asciiTheme="minorHAnsi" w:hAnsiTheme="minorHAnsi" w:cs="Arial"/>
          <w:iCs/>
          <w:noProof/>
        </w:rPr>
        <w:t>Acreditación para Centros de Salud Mental Ambulatoria</w:t>
      </w:r>
      <w:r w:rsidR="005B7155" w:rsidRPr="005B7155">
        <w:rPr>
          <w:rFonts w:asciiTheme="minorHAnsi" w:hAnsiTheme="minorHAnsi" w:cs="Arial"/>
          <w:iCs/>
          <w:noProof/>
        </w:rPr>
        <w:t>,</w:t>
      </w:r>
      <w:r w:rsidRPr="005B7155">
        <w:rPr>
          <w:rFonts w:asciiTheme="minorHAnsi" w:hAnsiTheme="minorHAnsi" w:cs="Arial"/>
          <w:iCs/>
          <w:noProof/>
        </w:rPr>
        <w:t xml:space="preserve"> </w:t>
      </w:r>
      <w:r w:rsidRPr="005B7155">
        <w:rPr>
          <w:rFonts w:asciiTheme="minorHAnsi" w:hAnsiTheme="minorHAnsi" w:cs="Arial"/>
        </w:rPr>
        <w:t xml:space="preserve">ha sido elaborada por </w:t>
      </w:r>
      <w:r w:rsidRPr="005B7155">
        <w:rPr>
          <w:rFonts w:asciiTheme="minorHAnsi" w:eastAsia="Calibri" w:hAnsiTheme="minorHAnsi" w:cs="Arial"/>
          <w:lang w:eastAsia="en-US"/>
        </w:rPr>
        <w:t xml:space="preserve"> </w:t>
      </w:r>
      <w:r w:rsidRPr="005B7155">
        <w:rPr>
          <w:rFonts w:asciiTheme="minorHAnsi" w:eastAsia="Calibri" w:hAnsiTheme="minorHAnsi" w:cs="Arial"/>
        </w:rPr>
        <w:t>C</w:t>
      </w:r>
      <w:r w:rsidRPr="005B7155">
        <w:rPr>
          <w:rFonts w:asciiTheme="minorHAnsi" w:hAnsiTheme="minorHAnsi" w:cs="Arial"/>
        </w:rPr>
        <w:t>omisión Técnica de trabajo intersectorial, c</w:t>
      </w:r>
      <w:r w:rsidRPr="005B7155">
        <w:rPr>
          <w:rFonts w:asciiTheme="minorHAnsi" w:eastAsia="Calibri" w:hAnsiTheme="minorHAnsi" w:cs="Arial"/>
          <w:lang w:eastAsia="en-US"/>
        </w:rPr>
        <w:t>onforme a Resoluciones Exenta N° 16 de fecha 07/01/2020 y N°646 de fecha 08/09/2022</w:t>
      </w:r>
      <w:r w:rsidRPr="005B7155">
        <w:rPr>
          <w:rFonts w:asciiTheme="minorHAnsi" w:hAnsiTheme="minorHAnsi" w:cs="Arial"/>
        </w:rPr>
        <w:t>l, del M</w:t>
      </w:r>
      <w:r w:rsidR="005B7155" w:rsidRPr="005B7155">
        <w:rPr>
          <w:rFonts w:asciiTheme="minorHAnsi" w:hAnsiTheme="minorHAnsi" w:cs="Arial"/>
        </w:rPr>
        <w:t>inisterio de Salud</w:t>
      </w:r>
      <w:r w:rsidRPr="005B7155">
        <w:rPr>
          <w:rFonts w:asciiTheme="minorHAnsi" w:hAnsiTheme="minorHAnsi" w:cs="Arial"/>
        </w:rPr>
        <w:t xml:space="preserve">.  </w:t>
      </w:r>
    </w:p>
    <w:p w:rsidR="003B410F" w:rsidRPr="005B7155" w:rsidRDefault="003B410F" w:rsidP="003B410F">
      <w:pPr>
        <w:shd w:val="clear" w:color="auto" w:fill="FFFFFF"/>
        <w:tabs>
          <w:tab w:val="left" w:pos="4875"/>
        </w:tabs>
        <w:jc w:val="both"/>
        <w:rPr>
          <w:rFonts w:cs="HelveticaNeue-Bold"/>
          <w:bCs/>
          <w:sz w:val="24"/>
          <w:szCs w:val="24"/>
        </w:rPr>
      </w:pPr>
      <w:r w:rsidRPr="005B7155">
        <w:rPr>
          <w:rFonts w:cs="HelveticaNeue-Light"/>
          <w:sz w:val="24"/>
          <w:szCs w:val="24"/>
        </w:rPr>
        <w:t xml:space="preserve">La propuesta Manual Estándar General de Acreditación para Centros de Salud Mental Ambulatoria </w:t>
      </w:r>
      <w:r w:rsidRPr="005B7155">
        <w:rPr>
          <w:rFonts w:cs="HelveticaNeue-Bold"/>
          <w:bCs/>
          <w:sz w:val="24"/>
          <w:szCs w:val="24"/>
        </w:rPr>
        <w:t>consta de dos documentos:</w:t>
      </w:r>
    </w:p>
    <w:p w:rsidR="005B7155" w:rsidRPr="005B7155" w:rsidRDefault="003B410F" w:rsidP="005B7155">
      <w:pPr>
        <w:numPr>
          <w:ilvl w:val="0"/>
          <w:numId w:val="2"/>
        </w:numPr>
        <w:shd w:val="clear" w:color="auto" w:fill="FFFFFF"/>
        <w:tabs>
          <w:tab w:val="left" w:pos="4875"/>
        </w:tabs>
        <w:spacing w:after="0" w:line="240" w:lineRule="auto"/>
        <w:contextualSpacing/>
        <w:jc w:val="both"/>
        <w:rPr>
          <w:rFonts w:cs="HelveticaNeue-Light"/>
          <w:sz w:val="24"/>
          <w:szCs w:val="24"/>
        </w:rPr>
      </w:pPr>
      <w:r w:rsidRPr="005B7155">
        <w:rPr>
          <w:rFonts w:cs="HelveticaNeue-Light"/>
          <w:sz w:val="24"/>
          <w:szCs w:val="24"/>
        </w:rPr>
        <w:t>Manual de Acreditación para Centros de Salud Mental Ambulatoria</w:t>
      </w:r>
    </w:p>
    <w:p w:rsidR="003B410F" w:rsidRPr="005B7155" w:rsidRDefault="003B410F" w:rsidP="005B7155">
      <w:pPr>
        <w:numPr>
          <w:ilvl w:val="0"/>
          <w:numId w:val="2"/>
        </w:numPr>
        <w:shd w:val="clear" w:color="auto" w:fill="FFFFFF"/>
        <w:tabs>
          <w:tab w:val="left" w:pos="4875"/>
        </w:tabs>
        <w:spacing w:after="0" w:line="240" w:lineRule="auto"/>
        <w:contextualSpacing/>
        <w:jc w:val="both"/>
        <w:rPr>
          <w:rFonts w:cs="HelveticaNeue-Light"/>
          <w:sz w:val="24"/>
          <w:szCs w:val="24"/>
        </w:rPr>
      </w:pPr>
      <w:r w:rsidRPr="005B7155">
        <w:rPr>
          <w:rFonts w:cs="HelveticaNeue-Light"/>
          <w:sz w:val="24"/>
          <w:szCs w:val="24"/>
        </w:rPr>
        <w:t>Anexo: Pauta de cotejo del Manual de Acreditación para Centros de Salud Mental Ambulatoria</w:t>
      </w:r>
    </w:p>
    <w:p w:rsidR="003B410F" w:rsidRPr="005B7155" w:rsidRDefault="003B410F" w:rsidP="003B410F">
      <w:pPr>
        <w:shd w:val="clear" w:color="auto" w:fill="FFFFFF"/>
        <w:tabs>
          <w:tab w:val="left" w:pos="4875"/>
        </w:tabs>
        <w:contextualSpacing/>
        <w:jc w:val="both"/>
        <w:rPr>
          <w:rFonts w:cs="HelveticaNeue-Light"/>
          <w:sz w:val="24"/>
          <w:szCs w:val="24"/>
        </w:rPr>
      </w:pPr>
    </w:p>
    <w:p w:rsidR="003B410F" w:rsidRPr="005B7155" w:rsidRDefault="003B410F" w:rsidP="003B410F">
      <w:pPr>
        <w:shd w:val="clear" w:color="auto" w:fill="FFFFFF"/>
        <w:tabs>
          <w:tab w:val="left" w:pos="4875"/>
        </w:tabs>
        <w:contextualSpacing/>
        <w:jc w:val="both"/>
        <w:rPr>
          <w:rFonts w:cs="HelveticaNeue-Light"/>
          <w:sz w:val="24"/>
          <w:szCs w:val="24"/>
        </w:rPr>
      </w:pPr>
      <w:r w:rsidRPr="005B7155">
        <w:rPr>
          <w:rFonts w:cs="HelveticaNeue-Light"/>
          <w:sz w:val="24"/>
          <w:szCs w:val="24"/>
        </w:rPr>
        <w:t xml:space="preserve">El primero de los documentos mencionados señala  los elementos generales a considerar en los procesos de acreditación, definiendo conceptos, y entregando instrucciones generales a las entidades  acreditadoras, indica las reglas de decisión y posteriormente  los ámbitos componentes y características que componen el estándar, concluyendo con un glosario y abreviaturas utilizadas.   </w:t>
      </w:r>
    </w:p>
    <w:p w:rsidR="003B410F" w:rsidRPr="005B7155" w:rsidRDefault="003B410F" w:rsidP="003B410F">
      <w:pPr>
        <w:shd w:val="clear" w:color="auto" w:fill="FFFFFF"/>
        <w:tabs>
          <w:tab w:val="left" w:pos="4875"/>
        </w:tabs>
        <w:contextualSpacing/>
        <w:jc w:val="both"/>
        <w:rPr>
          <w:rFonts w:cs="HelveticaNeue-Light"/>
          <w:sz w:val="24"/>
          <w:szCs w:val="24"/>
        </w:rPr>
      </w:pPr>
    </w:p>
    <w:p w:rsidR="003B410F" w:rsidRPr="005B7155" w:rsidRDefault="003B410F" w:rsidP="003B410F">
      <w:pPr>
        <w:shd w:val="clear" w:color="auto" w:fill="FFFFFF"/>
        <w:tabs>
          <w:tab w:val="left" w:pos="4875"/>
        </w:tabs>
        <w:contextualSpacing/>
        <w:jc w:val="both"/>
        <w:rPr>
          <w:rFonts w:cs="HelveticaNeue-Light"/>
          <w:sz w:val="24"/>
          <w:szCs w:val="24"/>
        </w:rPr>
      </w:pPr>
      <w:r w:rsidRPr="005B7155">
        <w:rPr>
          <w:rFonts w:cs="HelveticaNeue-Light"/>
          <w:sz w:val="24"/>
          <w:szCs w:val="24"/>
        </w:rPr>
        <w:t xml:space="preserve">El Segundo documento comprende las definiciones de elementos medibles y punto de verificación, así como instrucciones acerca  de los requisitos que deben cumplir  los elementos medibles para considerarse cumplidos, y las condiciones de cumplimiento de las características. Finalmente se detalla por cada característica los puntos de verificación así como los elementos medibles de cada una  de las características. </w:t>
      </w:r>
    </w:p>
    <w:p w:rsidR="00142321" w:rsidRPr="00142321" w:rsidRDefault="00142321" w:rsidP="00142321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="Arial"/>
          <w:color w:val="475156"/>
        </w:rPr>
      </w:pPr>
      <w:r w:rsidRPr="005B7155">
        <w:rPr>
          <w:rFonts w:asciiTheme="minorHAnsi" w:hAnsiTheme="minorHAnsi" w:cs="Arial"/>
          <w:shd w:val="clear" w:color="auto" w:fill="FFFFFF"/>
        </w:rPr>
        <w:t>Las observaciones a la propuesta deberán ser enviadas acorde al formulario de observaciones en formato Word disponible en esta misma sección. En dicho formulario deberán incluir sus observaciones y justificaciones, el cual deberá ser enviado al correo electrónic</w:t>
      </w:r>
      <w:r w:rsidRPr="00142321">
        <w:rPr>
          <w:rFonts w:asciiTheme="minorHAnsi" w:hAnsiTheme="minorHAnsi" w:cs="Arial"/>
          <w:color w:val="475156"/>
          <w:shd w:val="clear" w:color="auto" w:fill="FFFFFF"/>
        </w:rPr>
        <w:t>o </w:t>
      </w:r>
      <w:hyperlink r:id="rId7" w:history="1">
        <w:r w:rsidR="009B4FE2" w:rsidRPr="00774E9A">
          <w:rPr>
            <w:rStyle w:val="Hipervnculo"/>
            <w:rFonts w:asciiTheme="minorHAnsi" w:hAnsiTheme="minorHAnsi" w:cs="Arial"/>
            <w:shd w:val="clear" w:color="auto" w:fill="FFFFFF"/>
          </w:rPr>
          <w:t>consultaacreditacion</w:t>
        </w:r>
        <w:r w:rsidR="009B4FE2" w:rsidRPr="00774E9A">
          <w:rPr>
            <w:rStyle w:val="Hipervnculo"/>
            <w:rFonts w:asciiTheme="minorHAnsi" w:hAnsiTheme="minorHAnsi" w:cs="Arial"/>
          </w:rPr>
          <w:t>@minsal.cl</w:t>
        </w:r>
      </w:hyperlink>
      <w:r w:rsidRPr="00142321">
        <w:rPr>
          <w:rFonts w:asciiTheme="minorHAnsi" w:hAnsiTheme="minorHAnsi" w:cs="Arial"/>
          <w:color w:val="475156"/>
        </w:rPr>
        <w:t xml:space="preserve"> </w:t>
      </w:r>
    </w:p>
    <w:p w:rsidR="003B410F" w:rsidRPr="00142321" w:rsidRDefault="005B7155" w:rsidP="005B7155">
      <w:pPr>
        <w:jc w:val="both"/>
        <w:rPr>
          <w:sz w:val="24"/>
          <w:szCs w:val="24"/>
          <w:lang w:eastAsia="es-CL"/>
        </w:rPr>
      </w:pPr>
      <w:r w:rsidRPr="00FE2F85">
        <w:rPr>
          <w:rStyle w:val="Textoennegrita"/>
          <w:rFonts w:cs="Open Sans"/>
          <w:color w:val="475156"/>
          <w:shd w:val="clear" w:color="auto" w:fill="FFFFFF"/>
        </w:rPr>
        <w:t xml:space="preserve">Esta consulta pública se extenderá 45 días  </w:t>
      </w:r>
    </w:p>
    <w:sectPr w:rsidR="003B410F" w:rsidRPr="001423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DCB" w:rsidRDefault="00105DCB">
      <w:pPr>
        <w:spacing w:after="0" w:line="240" w:lineRule="auto"/>
      </w:pPr>
      <w:r>
        <w:separator/>
      </w:r>
    </w:p>
  </w:endnote>
  <w:endnote w:type="continuationSeparator" w:id="0">
    <w:p w:rsidR="00105DCB" w:rsidRDefault="0010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BFF" w:rsidRPr="004276AE" w:rsidRDefault="00105DCB" w:rsidP="004276AE">
    <w:pPr>
      <w:spacing w:after="0"/>
      <w:jc w:val="center"/>
      <w:rPr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DCB" w:rsidRDefault="00105DCB">
      <w:pPr>
        <w:spacing w:after="0" w:line="240" w:lineRule="auto"/>
      </w:pPr>
      <w:r>
        <w:separator/>
      </w:r>
    </w:p>
  </w:footnote>
  <w:footnote w:type="continuationSeparator" w:id="0">
    <w:p w:rsidR="00105DCB" w:rsidRDefault="0010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BFF" w:rsidRPr="00B20076" w:rsidRDefault="009B4FE2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18"/>
        <w:szCs w:val="28"/>
      </w:rPr>
    </w:pPr>
    <w:r w:rsidRPr="00A145BA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1F205CF3" wp14:editId="379A8BB4">
          <wp:simplePos x="1714500" y="447675"/>
          <wp:positionH relativeFrom="margin">
            <wp:align>left</wp:align>
          </wp:positionH>
          <wp:positionV relativeFrom="margin">
            <wp:align>top</wp:align>
          </wp:positionV>
          <wp:extent cx="738554" cy="685800"/>
          <wp:effectExtent l="0" t="0" r="444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54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6BFF" w:rsidRPr="00B20076" w:rsidRDefault="00105DCB" w:rsidP="00B20076">
    <w:pPr>
      <w:tabs>
        <w:tab w:val="center" w:pos="4419"/>
        <w:tab w:val="right" w:pos="8838"/>
      </w:tabs>
      <w:spacing w:after="0" w:line="240" w:lineRule="auto"/>
      <w:ind w:left="993" w:right="1417"/>
      <w:rPr>
        <w:rFonts w:ascii="Calibri" w:eastAsia="Calibri" w:hAnsi="Calibri" w:cs="Times New Roman"/>
        <w:sz w:val="2"/>
        <w:szCs w:val="8"/>
      </w:rPr>
    </w:pPr>
  </w:p>
  <w:p w:rsidR="00976BFF" w:rsidRPr="00B06613" w:rsidRDefault="00105DCB" w:rsidP="00B06613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4"/>
        <w:szCs w:val="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49F4"/>
    <w:multiLevelType w:val="hybridMultilevel"/>
    <w:tmpl w:val="D3DC47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779E"/>
    <w:multiLevelType w:val="hybridMultilevel"/>
    <w:tmpl w:val="BE5AFB62"/>
    <w:lvl w:ilvl="0" w:tplc="8A9E758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0F"/>
    <w:rsid w:val="00105DCB"/>
    <w:rsid w:val="00142321"/>
    <w:rsid w:val="003B410F"/>
    <w:rsid w:val="005B7155"/>
    <w:rsid w:val="006272D8"/>
    <w:rsid w:val="00824A81"/>
    <w:rsid w:val="009B4FE2"/>
    <w:rsid w:val="00A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EC8417-1B24-4EEF-8D4C-AD98FD86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B410F"/>
    <w:rPr>
      <w:b/>
      <w:bCs/>
    </w:rPr>
  </w:style>
  <w:style w:type="paragraph" w:styleId="NormalWeb">
    <w:name w:val="Normal (Web)"/>
    <w:basedOn w:val="Normal"/>
    <w:uiPriority w:val="99"/>
    <w:unhideWhenUsed/>
    <w:rsid w:val="003B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142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acreditacion@minsa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Sanchez Gonzalez</dc:creator>
  <cp:keywords/>
  <dc:description/>
  <cp:lastModifiedBy>Equipo: MXL61020F3</cp:lastModifiedBy>
  <cp:revision>2</cp:revision>
  <dcterms:created xsi:type="dcterms:W3CDTF">2022-11-21T15:30:00Z</dcterms:created>
  <dcterms:modified xsi:type="dcterms:W3CDTF">2022-11-21T15:30:00Z</dcterms:modified>
</cp:coreProperties>
</file>