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9F" w:rsidRPr="009B019F" w:rsidRDefault="003647BD" w:rsidP="009B019F">
      <w:pPr>
        <w:jc w:val="center"/>
        <w:rPr>
          <w:rFonts w:ascii="Arial" w:hAnsi="Arial" w:cs="Arial"/>
          <w:b/>
          <w:szCs w:val="24"/>
        </w:rPr>
      </w:pPr>
      <w:r w:rsidRPr="009B019F">
        <w:rPr>
          <w:rFonts w:ascii="Arial" w:hAnsi="Arial" w:cs="Arial"/>
          <w:b/>
          <w:caps/>
          <w:szCs w:val="24"/>
        </w:rPr>
        <w:t>CONSULTA PÚBLICA DE MODIFICACIÓN DEL DECRETO SUPREMO N°977/96, MINISTERIO DE SALUD, REGLAMENTO SANITARIO DE LOS ALIMENTOS,</w:t>
      </w:r>
      <w:r w:rsidR="009B019F" w:rsidRPr="009B019F">
        <w:rPr>
          <w:rFonts w:ascii="Arial" w:hAnsi="Arial" w:cs="Arial"/>
          <w:b/>
          <w:caps/>
          <w:szCs w:val="24"/>
        </w:rPr>
        <w:t xml:space="preserve"> </w:t>
      </w:r>
      <w:r w:rsidR="009B019F" w:rsidRPr="009B019F">
        <w:rPr>
          <w:rFonts w:ascii="Arial" w:hAnsi="Arial" w:cs="Arial"/>
          <w:b/>
          <w:szCs w:val="24"/>
        </w:rPr>
        <w:t xml:space="preserve">ARTÍCULO </w:t>
      </w:r>
      <w:r w:rsidR="00FD0887">
        <w:rPr>
          <w:rFonts w:ascii="Arial" w:hAnsi="Arial" w:cs="Arial"/>
          <w:b/>
          <w:szCs w:val="24"/>
        </w:rPr>
        <w:t>516 Y OTROS RELACIONADOS CON LA ROTULACIÓN LIBRE DE GLUTEN</w:t>
      </w:r>
      <w:r w:rsidR="00FD0887" w:rsidRPr="009B019F">
        <w:rPr>
          <w:rFonts w:ascii="Arial" w:hAnsi="Arial" w:cs="Arial"/>
          <w:b/>
          <w:szCs w:val="24"/>
        </w:rPr>
        <w:t>.</w:t>
      </w:r>
    </w:p>
    <w:p w:rsidR="009B019F" w:rsidRDefault="009B019F" w:rsidP="009B019F">
      <w:pPr>
        <w:rPr>
          <w:lang w:val="es-ES_tradnl"/>
        </w:rPr>
      </w:pPr>
    </w:p>
    <w:p w:rsidR="00544129" w:rsidRDefault="00544129" w:rsidP="00195485">
      <w:pPr>
        <w:jc w:val="both"/>
        <w:rPr>
          <w:rFonts w:ascii="Arial" w:hAnsi="Arial" w:cs="Arial"/>
        </w:rPr>
      </w:pPr>
    </w:p>
    <w:p w:rsidR="00036361" w:rsidRDefault="00036361" w:rsidP="00195485">
      <w:pPr>
        <w:jc w:val="both"/>
        <w:rPr>
          <w:rFonts w:ascii="Arial" w:hAnsi="Arial" w:cs="Arial"/>
        </w:rPr>
      </w:pPr>
    </w:p>
    <w:p w:rsidR="008A5E30" w:rsidRDefault="00FD0887" w:rsidP="00195485">
      <w:pPr>
        <w:jc w:val="both"/>
        <w:rPr>
          <w:rFonts w:ascii="Arial" w:hAnsi="Arial" w:cs="Arial"/>
        </w:rPr>
      </w:pPr>
      <w:r>
        <w:rPr>
          <w:rFonts w:ascii="Arial" w:hAnsi="Arial" w:cs="Arial"/>
        </w:rPr>
        <w:t xml:space="preserve">El 18 de agosto de 2021, se ha promulgado la Ley </w:t>
      </w:r>
      <w:r w:rsidR="00195485">
        <w:rPr>
          <w:rFonts w:ascii="Arial" w:hAnsi="Arial" w:cs="Arial"/>
        </w:rPr>
        <w:t xml:space="preserve">N° </w:t>
      </w:r>
      <w:r w:rsidR="00195485" w:rsidRPr="00195485">
        <w:rPr>
          <w:rFonts w:ascii="Arial" w:hAnsi="Arial" w:cs="Arial"/>
        </w:rPr>
        <w:t>21.362</w:t>
      </w:r>
      <w:r w:rsidR="00195485">
        <w:rPr>
          <w:rFonts w:ascii="Arial" w:hAnsi="Arial" w:cs="Arial"/>
        </w:rPr>
        <w:t xml:space="preserve"> que </w:t>
      </w:r>
      <w:r w:rsidR="00544129" w:rsidRPr="00195485">
        <w:rPr>
          <w:rFonts w:ascii="Arial" w:hAnsi="Arial" w:cs="Arial"/>
        </w:rPr>
        <w:t>Modifica Diversos Cuerpos Legales Con El Objeto De Regular El</w:t>
      </w:r>
      <w:r w:rsidR="00544129">
        <w:rPr>
          <w:rFonts w:ascii="Arial" w:hAnsi="Arial" w:cs="Arial"/>
        </w:rPr>
        <w:t xml:space="preserve"> </w:t>
      </w:r>
      <w:r w:rsidR="00544129" w:rsidRPr="00195485">
        <w:rPr>
          <w:rFonts w:ascii="Arial" w:hAnsi="Arial" w:cs="Arial"/>
        </w:rPr>
        <w:t>Etiquetado, Publicidad Y Venta De Alimentos Libres De Gluten, Y</w:t>
      </w:r>
      <w:r w:rsidR="00544129">
        <w:rPr>
          <w:rFonts w:ascii="Arial" w:hAnsi="Arial" w:cs="Arial"/>
        </w:rPr>
        <w:t xml:space="preserve"> </w:t>
      </w:r>
      <w:r w:rsidR="00544129" w:rsidRPr="00195485">
        <w:rPr>
          <w:rFonts w:ascii="Arial" w:hAnsi="Arial" w:cs="Arial"/>
        </w:rPr>
        <w:t>Otras Materias</w:t>
      </w:r>
      <w:r w:rsidR="00544129">
        <w:rPr>
          <w:rFonts w:ascii="Arial" w:hAnsi="Arial" w:cs="Arial"/>
        </w:rPr>
        <w:t>.</w:t>
      </w:r>
    </w:p>
    <w:p w:rsidR="00195485" w:rsidRPr="00195485" w:rsidRDefault="00195485" w:rsidP="00195485">
      <w:pPr>
        <w:jc w:val="both"/>
        <w:rPr>
          <w:rFonts w:ascii="Arial" w:hAnsi="Arial" w:cs="Arial"/>
        </w:rPr>
      </w:pPr>
    </w:p>
    <w:p w:rsidR="0054023D" w:rsidRDefault="009422C1" w:rsidP="008A5E30">
      <w:pPr>
        <w:jc w:val="both"/>
        <w:rPr>
          <w:rFonts w:ascii="Arial" w:hAnsi="Arial" w:cs="Arial"/>
        </w:rPr>
      </w:pPr>
      <w:r>
        <w:rPr>
          <w:rFonts w:ascii="Arial" w:hAnsi="Arial" w:cs="Arial"/>
        </w:rPr>
        <w:t>La presente propuesta</w:t>
      </w:r>
      <w:r w:rsidR="00012D5D" w:rsidRPr="00454D73">
        <w:rPr>
          <w:rFonts w:ascii="Arial" w:hAnsi="Arial" w:cs="Arial"/>
        </w:rPr>
        <w:t xml:space="preserve"> tiene </w:t>
      </w:r>
      <w:r>
        <w:rPr>
          <w:rFonts w:ascii="Arial" w:hAnsi="Arial" w:cs="Arial"/>
        </w:rPr>
        <w:t>por</w:t>
      </w:r>
      <w:r w:rsidR="00012D5D" w:rsidRPr="00454D73">
        <w:rPr>
          <w:rFonts w:ascii="Arial" w:hAnsi="Arial" w:cs="Arial"/>
        </w:rPr>
        <w:t xml:space="preserve"> objetivo abordar la </w:t>
      </w:r>
      <w:r w:rsidR="00A81144">
        <w:rPr>
          <w:rFonts w:ascii="Arial" w:hAnsi="Arial" w:cs="Arial"/>
        </w:rPr>
        <w:t>ejecución de las materias que indica dicha Ley, referidas únicamente en lo que respecta a la rotulación de los productos alimenticios declarados como “Libre de Gluten”</w:t>
      </w:r>
      <w:r w:rsidR="0054023D">
        <w:rPr>
          <w:rFonts w:ascii="Arial" w:hAnsi="Arial" w:cs="Arial"/>
        </w:rPr>
        <w:t>, actualizando el Decreto Supremo N° 977/1996, Reglamento Sanitario de los Alimentos</w:t>
      </w:r>
      <w:r w:rsidR="001926EE">
        <w:rPr>
          <w:rFonts w:ascii="Arial" w:hAnsi="Arial" w:cs="Arial"/>
        </w:rPr>
        <w:t xml:space="preserve"> (RSA)</w:t>
      </w:r>
      <w:r w:rsidR="0054023D">
        <w:rPr>
          <w:rFonts w:ascii="Arial" w:hAnsi="Arial" w:cs="Arial"/>
        </w:rPr>
        <w:t>, del Ministerio de Salud de Chile</w:t>
      </w:r>
      <w:r w:rsidR="00CF43D9">
        <w:rPr>
          <w:rFonts w:ascii="Arial" w:hAnsi="Arial" w:cs="Arial"/>
        </w:rPr>
        <w:t>, principalmente en los artículos que se refieren a las disposiciones sobre la rotulación “Libre de Gluten”.</w:t>
      </w:r>
    </w:p>
    <w:p w:rsidR="008A5E30" w:rsidRDefault="008A5E30" w:rsidP="008A5E30">
      <w:pPr>
        <w:jc w:val="both"/>
        <w:rPr>
          <w:rFonts w:ascii="Arial" w:hAnsi="Arial" w:cs="Arial"/>
        </w:rPr>
      </w:pPr>
    </w:p>
    <w:p w:rsidR="008A5E30" w:rsidRDefault="008A5E30" w:rsidP="008A5E30">
      <w:pPr>
        <w:jc w:val="both"/>
        <w:rPr>
          <w:rFonts w:ascii="Arial" w:hAnsi="Arial" w:cs="Arial"/>
        </w:rPr>
      </w:pPr>
      <w:r w:rsidRPr="00454D73">
        <w:rPr>
          <w:rFonts w:ascii="Arial" w:hAnsi="Arial" w:cs="Arial"/>
        </w:rPr>
        <w:t>La presente propuesta,</w:t>
      </w:r>
      <w:r>
        <w:rPr>
          <w:rFonts w:ascii="Arial" w:hAnsi="Arial" w:cs="Arial"/>
        </w:rPr>
        <w:t xml:space="preserve"> es un texto elaborado por el departamento técnico del Ministerio de Salud, teniendo en cuenta </w:t>
      </w:r>
      <w:r w:rsidR="003863A4">
        <w:rPr>
          <w:rFonts w:ascii="Arial" w:hAnsi="Arial" w:cs="Arial"/>
        </w:rPr>
        <w:t xml:space="preserve">algunos de los comentarios recibidos por diversos sectores interesados en dicha regulación, </w:t>
      </w:r>
      <w:r>
        <w:rPr>
          <w:rFonts w:ascii="Arial" w:hAnsi="Arial" w:cs="Arial"/>
        </w:rPr>
        <w:t xml:space="preserve">incluyendo el sector de la </w:t>
      </w:r>
      <w:r w:rsidR="003863A4">
        <w:rPr>
          <w:rFonts w:ascii="Arial" w:hAnsi="Arial" w:cs="Arial"/>
        </w:rPr>
        <w:t xml:space="preserve">industria alimentaria nacional, </w:t>
      </w:r>
      <w:r w:rsidR="00CF43D9">
        <w:rPr>
          <w:rFonts w:ascii="Arial" w:hAnsi="Arial" w:cs="Arial"/>
        </w:rPr>
        <w:t>organizaciones no gubernamentales</w:t>
      </w:r>
      <w:r w:rsidR="003863A4">
        <w:rPr>
          <w:rFonts w:ascii="Arial" w:hAnsi="Arial" w:cs="Arial"/>
        </w:rPr>
        <w:t xml:space="preserve"> relacionadas con la enfermedad celiaca, y otros organismos públicos </w:t>
      </w:r>
      <w:r w:rsidR="00AF00B5">
        <w:rPr>
          <w:rFonts w:ascii="Arial" w:hAnsi="Arial" w:cs="Arial"/>
        </w:rPr>
        <w:t>vinculados con esta materia.</w:t>
      </w:r>
      <w:r>
        <w:rPr>
          <w:rFonts w:ascii="Arial" w:hAnsi="Arial" w:cs="Arial"/>
        </w:rPr>
        <w:t xml:space="preserve"> </w:t>
      </w:r>
    </w:p>
    <w:p w:rsidR="00CF43D9" w:rsidRDefault="00CF43D9" w:rsidP="008A5E30">
      <w:pPr>
        <w:jc w:val="both"/>
        <w:rPr>
          <w:rFonts w:ascii="Arial" w:hAnsi="Arial" w:cs="Arial"/>
        </w:rPr>
      </w:pPr>
    </w:p>
    <w:p w:rsidR="000D4969" w:rsidRDefault="00CF43D9" w:rsidP="008A5E30">
      <w:pPr>
        <w:jc w:val="both"/>
        <w:rPr>
          <w:rFonts w:ascii="Arial" w:hAnsi="Arial" w:cs="Arial"/>
        </w:rPr>
      </w:pPr>
      <w:r>
        <w:rPr>
          <w:rFonts w:ascii="Arial" w:hAnsi="Arial" w:cs="Arial"/>
        </w:rPr>
        <w:t>En</w:t>
      </w:r>
      <w:r w:rsidR="009871ED">
        <w:rPr>
          <w:rFonts w:ascii="Arial" w:hAnsi="Arial" w:cs="Arial"/>
        </w:rPr>
        <w:t xml:space="preserve"> la siguiente tabla, se muestran en la primera columna l</w:t>
      </w:r>
      <w:r>
        <w:rPr>
          <w:rFonts w:ascii="Arial" w:hAnsi="Arial" w:cs="Arial"/>
        </w:rPr>
        <w:t xml:space="preserve">os artículos </w:t>
      </w:r>
      <w:r w:rsidR="009871ED">
        <w:rPr>
          <w:rFonts w:ascii="Arial" w:hAnsi="Arial" w:cs="Arial"/>
        </w:rPr>
        <w:t xml:space="preserve">vigentes del RSA, </w:t>
      </w:r>
      <w:r w:rsidR="001926EE">
        <w:rPr>
          <w:rFonts w:ascii="Arial" w:hAnsi="Arial" w:cs="Arial"/>
        </w:rPr>
        <w:t>en la segunda columna la propuesta de modificación el texto, y en la tercera columna una explicación de dicha propuesta.</w:t>
      </w:r>
      <w:r w:rsidR="000D4969">
        <w:rPr>
          <w:rFonts w:ascii="Arial" w:hAnsi="Arial" w:cs="Arial"/>
        </w:rPr>
        <w:t xml:space="preserve"> </w:t>
      </w:r>
    </w:p>
    <w:p w:rsidR="000D4969" w:rsidRDefault="000D4969" w:rsidP="008A5E30">
      <w:pPr>
        <w:jc w:val="both"/>
        <w:rPr>
          <w:rFonts w:ascii="Arial" w:hAnsi="Arial" w:cs="Arial"/>
        </w:rPr>
      </w:pPr>
    </w:p>
    <w:p w:rsidR="000D4969" w:rsidRDefault="000D4969" w:rsidP="008A5E30">
      <w:pPr>
        <w:jc w:val="both"/>
        <w:rPr>
          <w:rFonts w:ascii="Arial" w:hAnsi="Arial" w:cs="Arial"/>
        </w:rPr>
      </w:pPr>
      <w:r>
        <w:rPr>
          <w:rFonts w:ascii="Arial" w:hAnsi="Arial" w:cs="Arial"/>
        </w:rPr>
        <w:t>Sólo el texto que está destacado en color rojo se encuentra disponible para comentarios u observaciones. No se considerarán comentarios u observaciones sobre otras</w:t>
      </w:r>
      <w:r w:rsidR="00036361">
        <w:rPr>
          <w:rFonts w:ascii="Arial" w:hAnsi="Arial" w:cs="Arial"/>
        </w:rPr>
        <w:t xml:space="preserve"> secciones del texto presentado, no destacadas en color rojo, o sobre otras secciones del RSA.</w:t>
      </w:r>
    </w:p>
    <w:p w:rsidR="00036361" w:rsidRDefault="00036361" w:rsidP="008A5E30">
      <w:pPr>
        <w:jc w:val="both"/>
        <w:rPr>
          <w:rFonts w:ascii="Arial" w:hAnsi="Arial" w:cs="Arial"/>
        </w:rPr>
      </w:pPr>
    </w:p>
    <w:p w:rsidR="00A52B3A" w:rsidRDefault="00A52B3A" w:rsidP="008A5E30">
      <w:pPr>
        <w:jc w:val="both"/>
        <w:rPr>
          <w:rFonts w:ascii="Arial" w:hAnsi="Arial" w:cs="Arial"/>
        </w:rPr>
      </w:pPr>
    </w:p>
    <w:p w:rsidR="00A52B3A" w:rsidRDefault="00A52B3A" w:rsidP="008A5E30">
      <w:pPr>
        <w:jc w:val="both"/>
        <w:rPr>
          <w:rFonts w:ascii="Arial" w:hAnsi="Arial" w:cs="Arial"/>
        </w:rPr>
      </w:pPr>
    </w:p>
    <w:p w:rsidR="00A52B3A" w:rsidRDefault="00A52B3A" w:rsidP="008A5E30">
      <w:pPr>
        <w:jc w:val="both"/>
        <w:rPr>
          <w:rFonts w:ascii="Arial" w:hAnsi="Arial" w:cs="Arial"/>
        </w:rPr>
      </w:pPr>
    </w:p>
    <w:p w:rsidR="00A52B3A" w:rsidRDefault="00A52B3A" w:rsidP="008A5E30">
      <w:pPr>
        <w:jc w:val="both"/>
        <w:rPr>
          <w:rFonts w:ascii="Arial" w:hAnsi="Arial" w:cs="Arial"/>
        </w:rPr>
      </w:pPr>
    </w:p>
    <w:p w:rsidR="00A52B3A" w:rsidRDefault="00A52B3A" w:rsidP="008A5E30">
      <w:pPr>
        <w:jc w:val="both"/>
        <w:rPr>
          <w:rFonts w:ascii="Arial" w:hAnsi="Arial" w:cs="Arial"/>
        </w:rPr>
      </w:pPr>
    </w:p>
    <w:p w:rsidR="00A52B3A" w:rsidRDefault="00A52B3A" w:rsidP="008A5E30">
      <w:pPr>
        <w:jc w:val="both"/>
        <w:rPr>
          <w:rFonts w:ascii="Arial" w:hAnsi="Arial" w:cs="Arial"/>
        </w:rPr>
      </w:pPr>
    </w:p>
    <w:p w:rsidR="00A52B3A" w:rsidRPr="00A52B3A" w:rsidRDefault="00A52B3A" w:rsidP="008A5E30">
      <w:pPr>
        <w:jc w:val="both"/>
        <w:rPr>
          <w:rFonts w:ascii="Arial" w:hAnsi="Arial" w:cs="Arial"/>
          <w:b/>
        </w:rPr>
      </w:pPr>
      <w:r w:rsidRPr="00A52B3A">
        <w:rPr>
          <w:rFonts w:ascii="Arial" w:hAnsi="Arial" w:cs="Arial"/>
          <w:b/>
        </w:rPr>
        <w:lastRenderedPageBreak/>
        <w:t>Tabla: Propuesta de modificación.</w:t>
      </w:r>
    </w:p>
    <w:p w:rsidR="00A52B3A" w:rsidRDefault="00A52B3A" w:rsidP="008A5E30">
      <w:pPr>
        <w:jc w:val="both"/>
        <w:rPr>
          <w:rFonts w:ascii="Arial" w:hAnsi="Arial" w:cs="Arial"/>
        </w:rPr>
      </w:pPr>
    </w:p>
    <w:p w:rsidR="00866A69" w:rsidRDefault="00866A69" w:rsidP="00454D73">
      <w:pPr>
        <w:jc w:val="both"/>
        <w:rPr>
          <w:rFonts w:ascii="Arial" w:hAnsi="Arial" w:cs="Arial"/>
        </w:rPr>
      </w:pPr>
    </w:p>
    <w:tbl>
      <w:tblPr>
        <w:tblStyle w:val="Tablaconcuadrcula"/>
        <w:tblW w:w="0" w:type="auto"/>
        <w:tblLayout w:type="fixed"/>
        <w:tblLook w:val="04A0" w:firstRow="1" w:lastRow="0" w:firstColumn="1" w:lastColumn="0" w:noHBand="0" w:noVBand="1"/>
      </w:tblPr>
      <w:tblGrid>
        <w:gridCol w:w="4673"/>
        <w:gridCol w:w="4678"/>
        <w:gridCol w:w="3402"/>
      </w:tblGrid>
      <w:tr w:rsidR="009829C3" w:rsidTr="006701A1">
        <w:tc>
          <w:tcPr>
            <w:tcW w:w="4673" w:type="dxa"/>
            <w:shd w:val="clear" w:color="auto" w:fill="auto"/>
          </w:tcPr>
          <w:p w:rsidR="009829C3" w:rsidRPr="005B3C31" w:rsidRDefault="009829C3" w:rsidP="009829C3">
            <w:pPr>
              <w:jc w:val="both"/>
              <w:rPr>
                <w:rFonts w:ascii="Arial" w:hAnsi="Arial" w:cs="Arial"/>
                <w:b/>
                <w:bCs/>
                <w:sz w:val="22"/>
                <w:szCs w:val="22"/>
              </w:rPr>
            </w:pPr>
            <w:r w:rsidRPr="005B3C31">
              <w:rPr>
                <w:rFonts w:ascii="Arial" w:hAnsi="Arial" w:cs="Arial"/>
                <w:b/>
                <w:bCs/>
                <w:sz w:val="22"/>
                <w:szCs w:val="22"/>
              </w:rPr>
              <w:t xml:space="preserve">   RSA vigente</w:t>
            </w:r>
          </w:p>
        </w:tc>
        <w:tc>
          <w:tcPr>
            <w:tcW w:w="4678" w:type="dxa"/>
            <w:shd w:val="clear" w:color="auto" w:fill="auto"/>
          </w:tcPr>
          <w:p w:rsidR="009829C3" w:rsidRDefault="009829C3" w:rsidP="009829C3">
            <w:pPr>
              <w:jc w:val="both"/>
              <w:rPr>
                <w:rFonts w:ascii="Arial" w:hAnsi="Arial" w:cs="Arial"/>
                <w:b/>
                <w:bCs/>
                <w:color w:val="FF0000"/>
                <w:sz w:val="22"/>
                <w:szCs w:val="22"/>
              </w:rPr>
            </w:pPr>
            <w:r w:rsidRPr="005B3C31">
              <w:rPr>
                <w:rFonts w:ascii="Arial" w:hAnsi="Arial" w:cs="Arial"/>
                <w:b/>
                <w:bCs/>
                <w:sz w:val="22"/>
                <w:szCs w:val="22"/>
              </w:rPr>
              <w:t xml:space="preserve">Propuesta de modificación </w:t>
            </w:r>
            <w:r w:rsidR="00A52B3A">
              <w:rPr>
                <w:rFonts w:ascii="Arial" w:hAnsi="Arial" w:cs="Arial"/>
                <w:b/>
                <w:bCs/>
                <w:sz w:val="22"/>
                <w:szCs w:val="22"/>
              </w:rPr>
              <w:t xml:space="preserve">destacada en </w:t>
            </w:r>
            <w:r w:rsidR="00A52B3A" w:rsidRPr="00A52B3A">
              <w:rPr>
                <w:rFonts w:ascii="Arial" w:hAnsi="Arial" w:cs="Arial"/>
                <w:b/>
                <w:bCs/>
                <w:color w:val="FF0000"/>
                <w:sz w:val="22"/>
                <w:szCs w:val="22"/>
              </w:rPr>
              <w:t>color rojo</w:t>
            </w:r>
          </w:p>
          <w:p w:rsidR="00A52B3A" w:rsidRPr="005B3C31" w:rsidRDefault="00A52B3A" w:rsidP="009829C3">
            <w:pPr>
              <w:jc w:val="both"/>
              <w:rPr>
                <w:rFonts w:ascii="Arial" w:hAnsi="Arial" w:cs="Arial"/>
                <w:b/>
                <w:bCs/>
                <w:sz w:val="22"/>
                <w:szCs w:val="22"/>
              </w:rPr>
            </w:pPr>
          </w:p>
        </w:tc>
        <w:tc>
          <w:tcPr>
            <w:tcW w:w="3402" w:type="dxa"/>
            <w:shd w:val="clear" w:color="auto" w:fill="auto"/>
          </w:tcPr>
          <w:p w:rsidR="009829C3" w:rsidRPr="005B3C31" w:rsidRDefault="009829C3" w:rsidP="009829C3">
            <w:pPr>
              <w:jc w:val="both"/>
              <w:rPr>
                <w:rFonts w:ascii="Arial" w:hAnsi="Arial" w:cs="Arial"/>
                <w:b/>
                <w:bCs/>
                <w:sz w:val="22"/>
                <w:szCs w:val="22"/>
              </w:rPr>
            </w:pPr>
            <w:r>
              <w:rPr>
                <w:rFonts w:ascii="Arial" w:hAnsi="Arial" w:cs="Arial"/>
                <w:b/>
                <w:bCs/>
                <w:sz w:val="22"/>
                <w:szCs w:val="22"/>
              </w:rPr>
              <w:t>Explicación de propuesta de modificación</w:t>
            </w:r>
          </w:p>
        </w:tc>
      </w:tr>
      <w:tr w:rsidR="009829C3" w:rsidRPr="00790513" w:rsidTr="006701A1">
        <w:tc>
          <w:tcPr>
            <w:tcW w:w="4673" w:type="dxa"/>
          </w:tcPr>
          <w:p w:rsidR="00882CE7" w:rsidRPr="00790513" w:rsidRDefault="00882CE7" w:rsidP="00882CE7">
            <w:pPr>
              <w:jc w:val="both"/>
              <w:rPr>
                <w:rFonts w:asciiTheme="minorHAnsi" w:hAnsiTheme="minorHAnsi" w:cstheme="minorHAnsi"/>
                <w:b/>
                <w:bCs/>
                <w:sz w:val="22"/>
                <w:szCs w:val="22"/>
              </w:rPr>
            </w:pPr>
          </w:p>
          <w:p w:rsidR="00882CE7" w:rsidRPr="00790513" w:rsidRDefault="00882CE7" w:rsidP="00882CE7">
            <w:pPr>
              <w:jc w:val="both"/>
              <w:rPr>
                <w:rFonts w:asciiTheme="minorHAnsi" w:hAnsiTheme="minorHAnsi" w:cstheme="minorHAnsi"/>
                <w:sz w:val="22"/>
                <w:szCs w:val="22"/>
              </w:rPr>
            </w:pPr>
            <w:r w:rsidRPr="00790513">
              <w:rPr>
                <w:rFonts w:asciiTheme="minorHAnsi" w:hAnsiTheme="minorHAnsi" w:cstheme="minorHAnsi"/>
                <w:b/>
                <w:bCs/>
                <w:sz w:val="22"/>
                <w:szCs w:val="22"/>
              </w:rPr>
              <w:t>Artículo 516.-</w:t>
            </w:r>
            <w:r w:rsidRPr="00790513">
              <w:rPr>
                <w:rFonts w:asciiTheme="minorHAnsi" w:hAnsiTheme="minorHAnsi" w:cstheme="minorHAnsi"/>
                <w:bCs/>
                <w:sz w:val="22"/>
                <w:szCs w:val="22"/>
              </w:rPr>
              <w:t xml:space="preserve"> </w:t>
            </w:r>
            <w:r w:rsidRPr="00790513">
              <w:rPr>
                <w:rFonts w:asciiTheme="minorHAnsi" w:hAnsiTheme="minorHAnsi" w:cstheme="minorHAnsi"/>
                <w:sz w:val="22"/>
                <w:szCs w:val="22"/>
              </w:rPr>
              <w:t xml:space="preserve">Un alimento libre de gluten es aquel que está preparado únicamente con ingredientes que por su origen natural y por la aplicación de buenas prácticas de fabricación - que impidan la contaminación cruzada – no contiene </w:t>
            </w:r>
            <w:proofErr w:type="spellStart"/>
            <w:r w:rsidRPr="00790513">
              <w:rPr>
                <w:rFonts w:asciiTheme="minorHAnsi" w:hAnsiTheme="minorHAnsi" w:cstheme="minorHAnsi"/>
                <w:sz w:val="22"/>
                <w:szCs w:val="22"/>
              </w:rPr>
              <w:t>prolaminas</w:t>
            </w:r>
            <w:proofErr w:type="spellEnd"/>
            <w:r w:rsidRPr="00790513">
              <w:rPr>
                <w:rFonts w:asciiTheme="minorHAnsi" w:hAnsiTheme="minorHAnsi" w:cstheme="minorHAnsi"/>
                <w:sz w:val="22"/>
                <w:szCs w:val="22"/>
              </w:rPr>
              <w:t xml:space="preserve"> procedentes de trigo, de todas las especies de </w:t>
            </w:r>
            <w:proofErr w:type="spellStart"/>
            <w:r w:rsidRPr="00790513">
              <w:rPr>
                <w:rFonts w:asciiTheme="minorHAnsi" w:hAnsiTheme="minorHAnsi" w:cstheme="minorHAnsi"/>
                <w:sz w:val="22"/>
                <w:szCs w:val="22"/>
              </w:rPr>
              <w:t>triticum</w:t>
            </w:r>
            <w:proofErr w:type="spellEnd"/>
            <w:r w:rsidRPr="00790513">
              <w:rPr>
                <w:rFonts w:asciiTheme="minorHAnsi" w:hAnsiTheme="minorHAnsi" w:cstheme="minorHAnsi"/>
                <w:sz w:val="22"/>
                <w:szCs w:val="22"/>
              </w:rPr>
              <w:t xml:space="preserve"> como la escaña común (</w:t>
            </w:r>
            <w:proofErr w:type="spellStart"/>
            <w:r w:rsidRPr="00790513">
              <w:rPr>
                <w:rFonts w:asciiTheme="minorHAnsi" w:hAnsiTheme="minorHAnsi" w:cstheme="minorHAnsi"/>
                <w:sz w:val="22"/>
                <w:szCs w:val="22"/>
              </w:rPr>
              <w:t>Triticum</w:t>
            </w:r>
            <w:proofErr w:type="spellEnd"/>
            <w:r w:rsidRPr="00790513">
              <w:rPr>
                <w:rFonts w:asciiTheme="minorHAnsi" w:hAnsiTheme="minorHAnsi" w:cstheme="minorHAnsi"/>
                <w:sz w:val="22"/>
                <w:szCs w:val="22"/>
              </w:rPr>
              <w:t xml:space="preserve"> </w:t>
            </w:r>
            <w:proofErr w:type="spellStart"/>
            <w:r w:rsidRPr="00790513">
              <w:rPr>
                <w:rFonts w:asciiTheme="minorHAnsi" w:hAnsiTheme="minorHAnsi" w:cstheme="minorHAnsi"/>
                <w:sz w:val="22"/>
                <w:szCs w:val="22"/>
              </w:rPr>
              <w:t>spelta</w:t>
            </w:r>
            <w:proofErr w:type="spellEnd"/>
            <w:r w:rsidRPr="00790513">
              <w:rPr>
                <w:rFonts w:asciiTheme="minorHAnsi" w:hAnsiTheme="minorHAnsi" w:cstheme="minorHAnsi"/>
                <w:sz w:val="22"/>
                <w:szCs w:val="22"/>
              </w:rPr>
              <w:t xml:space="preserve"> L.), el </w:t>
            </w:r>
            <w:proofErr w:type="spellStart"/>
            <w:r w:rsidRPr="00790513">
              <w:rPr>
                <w:rFonts w:asciiTheme="minorHAnsi" w:hAnsiTheme="minorHAnsi" w:cstheme="minorHAnsi"/>
                <w:sz w:val="22"/>
                <w:szCs w:val="22"/>
              </w:rPr>
              <w:t>kamut</w:t>
            </w:r>
            <w:proofErr w:type="spellEnd"/>
            <w:r w:rsidRPr="00790513">
              <w:rPr>
                <w:rFonts w:asciiTheme="minorHAnsi" w:hAnsiTheme="minorHAnsi" w:cstheme="minorHAnsi"/>
                <w:sz w:val="22"/>
                <w:szCs w:val="22"/>
              </w:rPr>
              <w:t xml:space="preserve"> (</w:t>
            </w:r>
            <w:proofErr w:type="spellStart"/>
            <w:r w:rsidRPr="00790513">
              <w:rPr>
                <w:rFonts w:asciiTheme="minorHAnsi" w:hAnsiTheme="minorHAnsi" w:cstheme="minorHAnsi"/>
                <w:sz w:val="22"/>
                <w:szCs w:val="22"/>
              </w:rPr>
              <w:t>Triticum</w:t>
            </w:r>
            <w:proofErr w:type="spellEnd"/>
            <w:r w:rsidRPr="00790513">
              <w:rPr>
                <w:rFonts w:asciiTheme="minorHAnsi" w:hAnsiTheme="minorHAnsi" w:cstheme="minorHAnsi"/>
                <w:sz w:val="22"/>
                <w:szCs w:val="22"/>
              </w:rPr>
              <w:t xml:space="preserve"> </w:t>
            </w:r>
            <w:proofErr w:type="spellStart"/>
            <w:r w:rsidRPr="00790513">
              <w:rPr>
                <w:rFonts w:asciiTheme="minorHAnsi" w:hAnsiTheme="minorHAnsi" w:cstheme="minorHAnsi"/>
                <w:sz w:val="22"/>
                <w:szCs w:val="22"/>
              </w:rPr>
              <w:t>polonicum</w:t>
            </w:r>
            <w:proofErr w:type="spellEnd"/>
            <w:r w:rsidRPr="00790513">
              <w:rPr>
                <w:rFonts w:asciiTheme="minorHAnsi" w:hAnsiTheme="minorHAnsi" w:cstheme="minorHAnsi"/>
                <w:sz w:val="22"/>
                <w:szCs w:val="22"/>
              </w:rPr>
              <w:t xml:space="preserve"> L.), trigo duro, centeno, cebada, ni sus variedades cruzadas, así como también de la avena. </w:t>
            </w:r>
          </w:p>
          <w:p w:rsidR="00882CE7" w:rsidRPr="00790513" w:rsidRDefault="00882CE7" w:rsidP="00882CE7">
            <w:pPr>
              <w:jc w:val="both"/>
              <w:rPr>
                <w:rFonts w:asciiTheme="minorHAnsi" w:hAnsiTheme="minorHAnsi" w:cstheme="minorHAnsi"/>
                <w:sz w:val="22"/>
                <w:szCs w:val="22"/>
              </w:rPr>
            </w:pPr>
          </w:p>
          <w:p w:rsidR="009829C3" w:rsidRPr="00790513" w:rsidRDefault="00882CE7" w:rsidP="00882CE7">
            <w:pPr>
              <w:jc w:val="both"/>
              <w:rPr>
                <w:rFonts w:asciiTheme="minorHAnsi" w:hAnsiTheme="minorHAnsi" w:cstheme="minorHAnsi"/>
                <w:sz w:val="22"/>
                <w:szCs w:val="22"/>
              </w:rPr>
            </w:pPr>
            <w:r w:rsidRPr="00790513">
              <w:rPr>
                <w:rFonts w:asciiTheme="minorHAnsi" w:hAnsiTheme="minorHAnsi" w:cstheme="minorHAnsi"/>
                <w:sz w:val="22"/>
                <w:szCs w:val="22"/>
              </w:rPr>
              <w:t xml:space="preserve">Para efectos de la inclusión en el rótulo de la leyenda “Libre de Gluten” los elaboradores de alimentos libres de gluten deberán cumplir con las exigencias establecidas en el presente Reglamento, así como contar con un programa de buenas prácticas de fabricación, con el fin de asegurar la no contaminación con los derivados de trigo, centeno, cebada y avena en los procesos, desde la recepción de las materias primas hasta la comercialización del producto final. </w:t>
            </w:r>
          </w:p>
          <w:p w:rsidR="00882CE7" w:rsidRPr="00790513" w:rsidRDefault="00882CE7" w:rsidP="00882CE7">
            <w:pPr>
              <w:jc w:val="both"/>
              <w:rPr>
                <w:rFonts w:asciiTheme="minorHAnsi" w:hAnsiTheme="minorHAnsi" w:cstheme="minorHAnsi"/>
                <w:sz w:val="22"/>
                <w:szCs w:val="22"/>
              </w:rPr>
            </w:pPr>
          </w:p>
        </w:tc>
        <w:tc>
          <w:tcPr>
            <w:tcW w:w="4678" w:type="dxa"/>
          </w:tcPr>
          <w:p w:rsidR="009829C3" w:rsidRPr="00790513" w:rsidRDefault="009829C3" w:rsidP="009829C3">
            <w:pPr>
              <w:jc w:val="both"/>
              <w:rPr>
                <w:rFonts w:asciiTheme="minorHAnsi" w:hAnsiTheme="minorHAnsi" w:cstheme="minorHAnsi"/>
                <w:sz w:val="22"/>
                <w:szCs w:val="22"/>
                <w:lang w:val="es-ES_tradnl"/>
              </w:rPr>
            </w:pPr>
          </w:p>
          <w:p w:rsidR="00790513" w:rsidRPr="00790513" w:rsidRDefault="00790513" w:rsidP="00790513">
            <w:pPr>
              <w:widowControl/>
              <w:spacing w:after="160" w:line="259" w:lineRule="auto"/>
              <w:jc w:val="both"/>
              <w:rPr>
                <w:rFonts w:asciiTheme="minorHAnsi" w:eastAsiaTheme="minorHAnsi" w:hAnsiTheme="minorHAnsi" w:cstheme="minorHAnsi"/>
                <w:snapToGrid/>
                <w:sz w:val="22"/>
                <w:szCs w:val="22"/>
                <w:lang w:eastAsia="en-US"/>
              </w:rPr>
            </w:pPr>
            <w:r w:rsidRPr="00790513">
              <w:rPr>
                <w:rFonts w:asciiTheme="minorHAnsi" w:eastAsiaTheme="minorHAnsi" w:hAnsiTheme="minorHAnsi" w:cstheme="minorHAnsi"/>
                <w:b/>
                <w:snapToGrid/>
                <w:sz w:val="22"/>
                <w:szCs w:val="22"/>
                <w:lang w:eastAsia="en-US"/>
              </w:rPr>
              <w:t>Artículo 516.-</w:t>
            </w:r>
            <w:r w:rsidRPr="00790513">
              <w:rPr>
                <w:rFonts w:asciiTheme="minorHAnsi" w:eastAsiaTheme="minorHAnsi" w:hAnsiTheme="minorHAnsi" w:cstheme="minorHAnsi"/>
                <w:snapToGrid/>
                <w:sz w:val="22"/>
                <w:szCs w:val="22"/>
                <w:lang w:eastAsia="en-US"/>
              </w:rPr>
              <w:t xml:space="preserve"> Un alimento libre de gluten es aquel que está preparado  con ingredientes que por su origen natural </w:t>
            </w:r>
            <w:r w:rsidRPr="00790513">
              <w:rPr>
                <w:rFonts w:asciiTheme="minorHAnsi" w:eastAsiaTheme="minorHAnsi" w:hAnsiTheme="minorHAnsi" w:cstheme="minorHAnsi"/>
                <w:snapToGrid/>
                <w:color w:val="FF0000"/>
                <w:sz w:val="22"/>
                <w:szCs w:val="22"/>
                <w:lang w:eastAsia="en-US"/>
              </w:rPr>
              <w:t xml:space="preserve">o sintético, </w:t>
            </w:r>
            <w:r w:rsidRPr="00790513">
              <w:rPr>
                <w:rFonts w:asciiTheme="minorHAnsi" w:eastAsiaTheme="minorHAnsi" w:hAnsiTheme="minorHAnsi" w:cstheme="minorHAnsi"/>
                <w:i/>
                <w:snapToGrid/>
                <w:color w:val="FF0000"/>
                <w:sz w:val="22"/>
                <w:szCs w:val="22"/>
                <w:lang w:eastAsia="en-US"/>
              </w:rPr>
              <w:t>o bien, que ha sido procesados de forma especial para eliminar el gluten</w:t>
            </w:r>
            <w:r w:rsidRPr="00790513">
              <w:rPr>
                <w:rFonts w:asciiTheme="minorHAnsi" w:eastAsiaTheme="minorHAnsi" w:hAnsiTheme="minorHAnsi" w:cstheme="minorHAnsi"/>
                <w:snapToGrid/>
                <w:color w:val="FF0000"/>
                <w:sz w:val="22"/>
                <w:szCs w:val="22"/>
                <w:lang w:eastAsia="en-US"/>
              </w:rPr>
              <w:t xml:space="preserve">, y  que </w:t>
            </w:r>
            <w:r w:rsidRPr="00790513">
              <w:rPr>
                <w:rFonts w:asciiTheme="minorHAnsi" w:eastAsiaTheme="minorHAnsi" w:hAnsiTheme="minorHAnsi" w:cstheme="minorHAnsi"/>
                <w:snapToGrid/>
                <w:sz w:val="22"/>
                <w:szCs w:val="22"/>
                <w:lang w:eastAsia="en-US"/>
              </w:rPr>
              <w:t xml:space="preserve">por la aplicación de buenas prácticas de fabricación - que impidan la contaminación cruzada – no contiene </w:t>
            </w:r>
            <w:proofErr w:type="spellStart"/>
            <w:r w:rsidRPr="00790513">
              <w:rPr>
                <w:rFonts w:asciiTheme="minorHAnsi" w:eastAsiaTheme="minorHAnsi" w:hAnsiTheme="minorHAnsi" w:cstheme="minorHAnsi"/>
                <w:snapToGrid/>
                <w:sz w:val="22"/>
                <w:szCs w:val="22"/>
                <w:lang w:eastAsia="en-US"/>
              </w:rPr>
              <w:t>prolaminas</w:t>
            </w:r>
            <w:proofErr w:type="spellEnd"/>
            <w:r w:rsidRPr="00790513">
              <w:rPr>
                <w:rFonts w:asciiTheme="minorHAnsi" w:eastAsiaTheme="minorHAnsi" w:hAnsiTheme="minorHAnsi" w:cstheme="minorHAnsi"/>
                <w:snapToGrid/>
                <w:sz w:val="22"/>
                <w:szCs w:val="22"/>
                <w:lang w:eastAsia="en-US"/>
              </w:rPr>
              <w:t xml:space="preserve"> procedentes de trigo, de todas las especies de </w:t>
            </w:r>
            <w:proofErr w:type="spellStart"/>
            <w:r w:rsidRPr="00790513">
              <w:rPr>
                <w:rFonts w:asciiTheme="minorHAnsi" w:eastAsiaTheme="minorHAnsi" w:hAnsiTheme="minorHAnsi" w:cstheme="minorHAnsi"/>
                <w:snapToGrid/>
                <w:sz w:val="22"/>
                <w:szCs w:val="22"/>
                <w:lang w:eastAsia="en-US"/>
              </w:rPr>
              <w:t>triticum</w:t>
            </w:r>
            <w:proofErr w:type="spellEnd"/>
            <w:r w:rsidRPr="00790513">
              <w:rPr>
                <w:rFonts w:asciiTheme="minorHAnsi" w:eastAsiaTheme="minorHAnsi" w:hAnsiTheme="minorHAnsi" w:cstheme="minorHAnsi"/>
                <w:snapToGrid/>
                <w:sz w:val="22"/>
                <w:szCs w:val="22"/>
                <w:lang w:eastAsia="en-US"/>
              </w:rPr>
              <w:t xml:space="preserve"> como la escaña común (</w:t>
            </w:r>
            <w:proofErr w:type="spellStart"/>
            <w:r w:rsidRPr="00790513">
              <w:rPr>
                <w:rFonts w:asciiTheme="minorHAnsi" w:eastAsiaTheme="minorHAnsi" w:hAnsiTheme="minorHAnsi" w:cstheme="minorHAnsi"/>
                <w:snapToGrid/>
                <w:sz w:val="22"/>
                <w:szCs w:val="22"/>
                <w:lang w:eastAsia="en-US"/>
              </w:rPr>
              <w:t>Triticum</w:t>
            </w:r>
            <w:proofErr w:type="spellEnd"/>
            <w:r w:rsidRPr="00790513">
              <w:rPr>
                <w:rFonts w:asciiTheme="minorHAnsi" w:eastAsiaTheme="minorHAnsi" w:hAnsiTheme="minorHAnsi" w:cstheme="minorHAnsi"/>
                <w:snapToGrid/>
                <w:sz w:val="22"/>
                <w:szCs w:val="22"/>
                <w:lang w:eastAsia="en-US"/>
              </w:rPr>
              <w:t xml:space="preserve"> </w:t>
            </w:r>
            <w:proofErr w:type="spellStart"/>
            <w:r w:rsidRPr="00790513">
              <w:rPr>
                <w:rFonts w:asciiTheme="minorHAnsi" w:eastAsiaTheme="minorHAnsi" w:hAnsiTheme="minorHAnsi" w:cstheme="minorHAnsi"/>
                <w:snapToGrid/>
                <w:sz w:val="22"/>
                <w:szCs w:val="22"/>
                <w:lang w:eastAsia="en-US"/>
              </w:rPr>
              <w:t>spelta</w:t>
            </w:r>
            <w:proofErr w:type="spellEnd"/>
            <w:r w:rsidRPr="00790513">
              <w:rPr>
                <w:rFonts w:asciiTheme="minorHAnsi" w:eastAsiaTheme="minorHAnsi" w:hAnsiTheme="minorHAnsi" w:cstheme="minorHAnsi"/>
                <w:snapToGrid/>
                <w:sz w:val="22"/>
                <w:szCs w:val="22"/>
                <w:lang w:eastAsia="en-US"/>
              </w:rPr>
              <w:t xml:space="preserve"> L.), el </w:t>
            </w:r>
            <w:proofErr w:type="spellStart"/>
            <w:r w:rsidRPr="00790513">
              <w:rPr>
                <w:rFonts w:asciiTheme="minorHAnsi" w:eastAsiaTheme="minorHAnsi" w:hAnsiTheme="minorHAnsi" w:cstheme="minorHAnsi"/>
                <w:snapToGrid/>
                <w:sz w:val="22"/>
                <w:szCs w:val="22"/>
                <w:lang w:eastAsia="en-US"/>
              </w:rPr>
              <w:t>kamut</w:t>
            </w:r>
            <w:proofErr w:type="spellEnd"/>
            <w:r w:rsidRPr="00790513">
              <w:rPr>
                <w:rFonts w:asciiTheme="minorHAnsi" w:eastAsiaTheme="minorHAnsi" w:hAnsiTheme="minorHAnsi" w:cstheme="minorHAnsi"/>
                <w:snapToGrid/>
                <w:sz w:val="22"/>
                <w:szCs w:val="22"/>
                <w:lang w:eastAsia="en-US"/>
              </w:rPr>
              <w:t xml:space="preserve"> (</w:t>
            </w:r>
            <w:proofErr w:type="spellStart"/>
            <w:r w:rsidRPr="00790513">
              <w:rPr>
                <w:rFonts w:asciiTheme="minorHAnsi" w:eastAsiaTheme="minorHAnsi" w:hAnsiTheme="minorHAnsi" w:cstheme="minorHAnsi"/>
                <w:snapToGrid/>
                <w:sz w:val="22"/>
                <w:szCs w:val="22"/>
                <w:lang w:eastAsia="en-US"/>
              </w:rPr>
              <w:t>Triticum</w:t>
            </w:r>
            <w:proofErr w:type="spellEnd"/>
            <w:r w:rsidRPr="00790513">
              <w:rPr>
                <w:rFonts w:asciiTheme="minorHAnsi" w:eastAsiaTheme="minorHAnsi" w:hAnsiTheme="minorHAnsi" w:cstheme="minorHAnsi"/>
                <w:snapToGrid/>
                <w:sz w:val="22"/>
                <w:szCs w:val="22"/>
                <w:lang w:eastAsia="en-US"/>
              </w:rPr>
              <w:t xml:space="preserve"> </w:t>
            </w:r>
            <w:proofErr w:type="spellStart"/>
            <w:r w:rsidRPr="00790513">
              <w:rPr>
                <w:rFonts w:asciiTheme="minorHAnsi" w:eastAsiaTheme="minorHAnsi" w:hAnsiTheme="minorHAnsi" w:cstheme="minorHAnsi"/>
                <w:snapToGrid/>
                <w:sz w:val="22"/>
                <w:szCs w:val="22"/>
                <w:lang w:eastAsia="en-US"/>
              </w:rPr>
              <w:t>polonicum</w:t>
            </w:r>
            <w:proofErr w:type="spellEnd"/>
            <w:r w:rsidRPr="00790513">
              <w:rPr>
                <w:rFonts w:asciiTheme="minorHAnsi" w:eastAsiaTheme="minorHAnsi" w:hAnsiTheme="minorHAnsi" w:cstheme="minorHAnsi"/>
                <w:snapToGrid/>
                <w:sz w:val="22"/>
                <w:szCs w:val="22"/>
                <w:lang w:eastAsia="en-US"/>
              </w:rPr>
              <w:t xml:space="preserve"> L.), trigo duro, centeno, cebada, ni sus variedades cruzadas, así como también de la avena.</w:t>
            </w:r>
          </w:p>
          <w:p w:rsidR="00790513" w:rsidRPr="00790513" w:rsidRDefault="00790513" w:rsidP="00790513">
            <w:pPr>
              <w:widowControl/>
              <w:spacing w:after="160" w:line="259" w:lineRule="auto"/>
              <w:jc w:val="both"/>
              <w:rPr>
                <w:rFonts w:asciiTheme="minorHAnsi" w:eastAsiaTheme="minorHAnsi" w:hAnsiTheme="minorHAnsi" w:cstheme="minorHAnsi"/>
                <w:snapToGrid/>
                <w:color w:val="FF0000"/>
                <w:sz w:val="22"/>
                <w:szCs w:val="22"/>
                <w:lang w:eastAsia="en-US"/>
              </w:rPr>
            </w:pPr>
            <w:r w:rsidRPr="00790513">
              <w:rPr>
                <w:rFonts w:asciiTheme="minorHAnsi" w:eastAsiaTheme="minorHAnsi" w:hAnsiTheme="minorHAnsi" w:cstheme="minorHAnsi"/>
                <w:snapToGrid/>
                <w:color w:val="FF0000"/>
                <w:sz w:val="22"/>
                <w:szCs w:val="22"/>
                <w:lang w:eastAsia="en-US"/>
              </w:rPr>
              <w:t xml:space="preserve">Los elaboradores de alimentos libres de gluten que declaren en el rótulo de sus productos la leyenda </w:t>
            </w:r>
            <w:r w:rsidRPr="00790513">
              <w:rPr>
                <w:rFonts w:asciiTheme="minorHAnsi" w:eastAsiaTheme="minorHAnsi" w:hAnsiTheme="minorHAnsi" w:cstheme="minorHAnsi"/>
                <w:snapToGrid/>
                <w:sz w:val="22"/>
                <w:szCs w:val="22"/>
                <w:lang w:eastAsia="en-US"/>
              </w:rPr>
              <w:t xml:space="preserve">“Libre de Gluten” </w:t>
            </w:r>
            <w:r w:rsidRPr="00790513">
              <w:rPr>
                <w:rFonts w:asciiTheme="minorHAnsi" w:eastAsiaTheme="minorHAnsi" w:hAnsiTheme="minorHAnsi" w:cstheme="minorHAnsi"/>
                <w:snapToGrid/>
                <w:color w:val="FF0000"/>
                <w:sz w:val="22"/>
                <w:szCs w:val="22"/>
                <w:lang w:eastAsia="en-US"/>
              </w:rPr>
              <w:t xml:space="preserve">u otras similares tales como “sin gluten”, “no contiene gluten”, “sin </w:t>
            </w:r>
            <w:proofErr w:type="spellStart"/>
            <w:r w:rsidRPr="00790513">
              <w:rPr>
                <w:rFonts w:asciiTheme="minorHAnsi" w:eastAsiaTheme="minorHAnsi" w:hAnsiTheme="minorHAnsi" w:cstheme="minorHAnsi"/>
                <w:snapToGrid/>
                <w:color w:val="FF0000"/>
                <w:sz w:val="22"/>
                <w:szCs w:val="22"/>
                <w:lang w:eastAsia="en-US"/>
              </w:rPr>
              <w:t>tacc</w:t>
            </w:r>
            <w:proofErr w:type="spellEnd"/>
            <w:r w:rsidRPr="00790513">
              <w:rPr>
                <w:rFonts w:asciiTheme="minorHAnsi" w:eastAsiaTheme="minorHAnsi" w:hAnsiTheme="minorHAnsi" w:cstheme="minorHAnsi"/>
                <w:snapToGrid/>
                <w:color w:val="FF0000"/>
                <w:sz w:val="22"/>
                <w:szCs w:val="22"/>
                <w:lang w:eastAsia="en-US"/>
              </w:rPr>
              <w:t xml:space="preserve">” entre otras similares que tengan el mismo objetivo,  </w:t>
            </w:r>
            <w:r w:rsidRPr="00790513">
              <w:rPr>
                <w:rFonts w:asciiTheme="minorHAnsi" w:eastAsiaTheme="minorHAnsi" w:hAnsiTheme="minorHAnsi" w:cstheme="minorHAnsi"/>
                <w:snapToGrid/>
                <w:sz w:val="22"/>
                <w:szCs w:val="22"/>
                <w:lang w:eastAsia="en-US"/>
              </w:rPr>
              <w:t>deberán cumplir con las exigencias establecidas en el presente Reglamento</w:t>
            </w:r>
            <w:r w:rsidRPr="00790513">
              <w:rPr>
                <w:rFonts w:asciiTheme="minorHAnsi" w:eastAsiaTheme="minorHAnsi" w:hAnsiTheme="minorHAnsi" w:cstheme="minorHAnsi"/>
                <w:snapToGrid/>
                <w:color w:val="FF0000"/>
                <w:sz w:val="22"/>
                <w:szCs w:val="22"/>
                <w:lang w:eastAsia="en-US"/>
              </w:rPr>
              <w:t>, en cuanto al límite de contenido de gluten,</w:t>
            </w:r>
            <w:r w:rsidRPr="00790513">
              <w:rPr>
                <w:rFonts w:asciiTheme="minorHAnsi" w:eastAsiaTheme="minorHAnsi" w:hAnsiTheme="minorHAnsi" w:cstheme="minorHAnsi"/>
                <w:snapToGrid/>
                <w:sz w:val="22"/>
                <w:szCs w:val="22"/>
                <w:lang w:eastAsia="en-US"/>
              </w:rPr>
              <w:t xml:space="preserve"> así como contar con un programa de buenas prácticas de fabricación, con el fin de asegurar la no contaminación con los derivados de trigo, </w:t>
            </w:r>
            <w:r w:rsidRPr="00790513">
              <w:rPr>
                <w:rFonts w:asciiTheme="minorHAnsi" w:eastAsiaTheme="minorHAnsi" w:hAnsiTheme="minorHAnsi" w:cstheme="minorHAnsi"/>
                <w:snapToGrid/>
                <w:sz w:val="22"/>
                <w:szCs w:val="22"/>
                <w:lang w:eastAsia="en-US"/>
              </w:rPr>
              <w:lastRenderedPageBreak/>
              <w:t xml:space="preserve">centeno, cebada y avena en los procesos, desde la recepción de las materias primas hasta la comercialización del producto final, </w:t>
            </w:r>
            <w:r w:rsidRPr="00790513">
              <w:rPr>
                <w:rFonts w:asciiTheme="minorHAnsi" w:eastAsiaTheme="minorHAnsi" w:hAnsiTheme="minorHAnsi" w:cstheme="minorHAnsi"/>
                <w:snapToGrid/>
                <w:color w:val="FF0000"/>
                <w:sz w:val="22"/>
                <w:szCs w:val="22"/>
                <w:lang w:eastAsia="en-US"/>
              </w:rPr>
              <w:t>y con todas las disposiciones de este Reglamento relativo a dicha declaración.</w:t>
            </w:r>
          </w:p>
          <w:p w:rsidR="00790513" w:rsidRPr="00790513" w:rsidRDefault="00790513" w:rsidP="00790513">
            <w:pPr>
              <w:widowControl/>
              <w:spacing w:after="160" w:line="259" w:lineRule="auto"/>
              <w:jc w:val="both"/>
              <w:rPr>
                <w:rFonts w:asciiTheme="minorHAnsi" w:eastAsiaTheme="minorHAnsi" w:hAnsiTheme="minorHAnsi" w:cstheme="minorHAnsi"/>
                <w:snapToGrid/>
                <w:color w:val="FF0000"/>
                <w:sz w:val="22"/>
                <w:szCs w:val="22"/>
                <w:lang w:eastAsia="en-US"/>
              </w:rPr>
            </w:pPr>
            <w:r w:rsidRPr="00790513">
              <w:rPr>
                <w:rFonts w:asciiTheme="minorHAnsi" w:eastAsiaTheme="minorHAnsi" w:hAnsiTheme="minorHAnsi" w:cstheme="minorHAnsi"/>
                <w:snapToGrid/>
                <w:color w:val="FF0000"/>
                <w:sz w:val="22"/>
                <w:szCs w:val="22"/>
                <w:lang w:eastAsia="en-US"/>
              </w:rPr>
              <w:t>El Ministerio de Salud indicará por resolución publicada en el Diario Oficial una guía de Buenas Prácticas para la elaboración y comercialización de productos libres de gluten.</w:t>
            </w:r>
          </w:p>
          <w:p w:rsidR="00790513" w:rsidRPr="00790513" w:rsidRDefault="00790513" w:rsidP="00790513">
            <w:pPr>
              <w:widowControl/>
              <w:spacing w:after="160" w:line="259" w:lineRule="auto"/>
              <w:jc w:val="both"/>
              <w:rPr>
                <w:rFonts w:asciiTheme="minorHAnsi" w:eastAsiaTheme="minorHAnsi" w:hAnsiTheme="minorHAnsi" w:cstheme="minorHAnsi"/>
                <w:snapToGrid/>
                <w:color w:val="FF0000"/>
                <w:sz w:val="22"/>
                <w:szCs w:val="22"/>
                <w:lang w:eastAsia="en-US"/>
              </w:rPr>
            </w:pPr>
            <w:r w:rsidRPr="00790513">
              <w:rPr>
                <w:rFonts w:asciiTheme="minorHAnsi" w:eastAsiaTheme="minorHAnsi" w:hAnsiTheme="minorHAnsi" w:cstheme="minorHAnsi"/>
                <w:snapToGrid/>
                <w:color w:val="FF0000"/>
                <w:sz w:val="22"/>
                <w:szCs w:val="22"/>
                <w:lang w:eastAsia="en-US"/>
              </w:rPr>
              <w:t xml:space="preserve">Sin perjuicio de cumplir con las Buenas Prácticas de Elaboración indicadas anteriormente, la comercialización de los productos secos rotulados como “libres de gluten”, deberán disponerse en góndolas, estantes,  vitrinas, receptáculos, estanterías y en general, en cualquier espacio exclusivo o segmentado e identificado para dichos productos, en forma separada de otros productos que no sean libres de gluten, ya sea por espacio entre ellos o a través de barreras físicas, a objeto de disminuir el riesgo de contaminación cruzada. Se eximen de esta disposición </w:t>
            </w:r>
            <w:r w:rsidRPr="00790513">
              <w:rPr>
                <w:rFonts w:asciiTheme="minorHAnsi" w:eastAsiaTheme="minorHAnsi" w:hAnsiTheme="minorHAnsi" w:cstheme="minorHAnsi"/>
                <w:snapToGrid/>
                <w:color w:val="FF0000"/>
                <w:sz w:val="22"/>
                <w:szCs w:val="22"/>
                <w:lang w:val="es-419" w:eastAsia="en-US"/>
              </w:rPr>
              <w:t>las pequeñas y microempresas</w:t>
            </w:r>
            <w:r w:rsidRPr="00790513">
              <w:rPr>
                <w:rFonts w:asciiTheme="minorHAnsi" w:eastAsiaTheme="minorEastAsia" w:hAnsiTheme="minorHAnsi" w:cstheme="minorHAnsi"/>
                <w:i/>
                <w:iCs/>
                <w:snapToGrid/>
                <w:color w:val="FF0000"/>
                <w:kern w:val="24"/>
                <w:sz w:val="22"/>
                <w:szCs w:val="22"/>
                <w:lang w:val="es-ES_tradnl" w:eastAsia="en-US"/>
              </w:rPr>
              <w:t xml:space="preserve"> </w:t>
            </w:r>
            <w:r w:rsidRPr="00790513">
              <w:rPr>
                <w:rFonts w:asciiTheme="minorHAnsi" w:eastAsiaTheme="minorHAnsi" w:hAnsiTheme="minorHAnsi" w:cstheme="minorHAnsi"/>
                <w:i/>
                <w:iCs/>
                <w:snapToGrid/>
                <w:color w:val="FF0000"/>
                <w:sz w:val="22"/>
                <w:szCs w:val="22"/>
                <w:lang w:val="es-ES_tradnl" w:eastAsia="en-US"/>
              </w:rPr>
              <w:t>según la definición de éstas establecida en la ley Nº 20.416</w:t>
            </w:r>
            <w:r w:rsidRPr="00790513">
              <w:rPr>
                <w:rFonts w:asciiTheme="minorHAnsi" w:eastAsiaTheme="minorHAnsi" w:hAnsiTheme="minorHAnsi" w:cstheme="minorHAnsi"/>
                <w:snapToGrid/>
                <w:color w:val="FF0000"/>
                <w:sz w:val="22"/>
                <w:szCs w:val="22"/>
                <w:lang w:val="es-419" w:eastAsia="en-US"/>
              </w:rPr>
              <w:t xml:space="preserve"> que </w:t>
            </w:r>
            <w:r w:rsidRPr="00790513">
              <w:rPr>
                <w:rFonts w:asciiTheme="minorHAnsi" w:eastAsiaTheme="minorHAnsi" w:hAnsiTheme="minorHAnsi" w:cstheme="minorHAnsi"/>
                <w:snapToGrid/>
                <w:color w:val="FF0000"/>
                <w:sz w:val="22"/>
                <w:szCs w:val="22"/>
                <w:lang w:eastAsia="en-US"/>
              </w:rPr>
              <w:t>Fija Normas Especiales Para Las Empresas De Menor Tamaño.</w:t>
            </w:r>
          </w:p>
          <w:p w:rsidR="00790513" w:rsidRPr="00790513" w:rsidRDefault="00790513" w:rsidP="00790513">
            <w:pPr>
              <w:widowControl/>
              <w:spacing w:after="160" w:line="259" w:lineRule="auto"/>
              <w:jc w:val="both"/>
              <w:rPr>
                <w:rFonts w:asciiTheme="minorHAnsi" w:eastAsiaTheme="minorHAnsi" w:hAnsiTheme="minorHAnsi" w:cstheme="minorHAnsi"/>
                <w:i/>
                <w:snapToGrid/>
                <w:color w:val="FF0000"/>
                <w:sz w:val="22"/>
                <w:szCs w:val="22"/>
                <w:lang w:eastAsia="en-US"/>
              </w:rPr>
            </w:pPr>
            <w:r w:rsidRPr="00790513">
              <w:rPr>
                <w:rFonts w:asciiTheme="minorHAnsi" w:eastAsiaTheme="minorHAnsi" w:hAnsiTheme="minorHAnsi" w:cstheme="minorHAnsi"/>
                <w:snapToGrid/>
                <w:color w:val="FF0000"/>
                <w:sz w:val="22"/>
                <w:szCs w:val="22"/>
                <w:lang w:eastAsia="en-US"/>
              </w:rPr>
              <w:t xml:space="preserve">Para efectos de éste artículo, se entenderá productos “secos” libres de gluten, a los productos </w:t>
            </w:r>
            <w:r w:rsidRPr="00790513">
              <w:rPr>
                <w:rFonts w:asciiTheme="minorHAnsi" w:eastAsiaTheme="minorHAnsi" w:hAnsiTheme="minorHAnsi" w:cstheme="minorHAnsi"/>
                <w:i/>
                <w:snapToGrid/>
                <w:color w:val="FF0000"/>
                <w:sz w:val="22"/>
                <w:szCs w:val="22"/>
                <w:lang w:eastAsia="en-US"/>
              </w:rPr>
              <w:t xml:space="preserve">envasados o a granel, que no requieren refrigeración, que han sido especialmente </w:t>
            </w:r>
            <w:r w:rsidRPr="00790513">
              <w:rPr>
                <w:rFonts w:asciiTheme="minorHAnsi" w:eastAsiaTheme="minorHAnsi" w:hAnsiTheme="minorHAnsi" w:cstheme="minorHAnsi"/>
                <w:i/>
                <w:snapToGrid/>
                <w:color w:val="FF0000"/>
                <w:sz w:val="22"/>
                <w:szCs w:val="22"/>
                <w:lang w:eastAsia="en-US"/>
              </w:rPr>
              <w:lastRenderedPageBreak/>
              <w:t xml:space="preserve">formulados para cumplir con la condición de ser “libres de gluten”, y que podrían sustituir principalmente a los cereales que contienen </w:t>
            </w:r>
            <w:proofErr w:type="spellStart"/>
            <w:r w:rsidRPr="00790513">
              <w:rPr>
                <w:rFonts w:asciiTheme="minorHAnsi" w:eastAsiaTheme="minorHAnsi" w:hAnsiTheme="minorHAnsi" w:cstheme="minorHAnsi"/>
                <w:i/>
                <w:snapToGrid/>
                <w:color w:val="FF0000"/>
                <w:sz w:val="22"/>
                <w:szCs w:val="22"/>
                <w:lang w:eastAsia="en-US"/>
              </w:rPr>
              <w:t>glúten</w:t>
            </w:r>
            <w:proofErr w:type="spellEnd"/>
            <w:r w:rsidRPr="00790513">
              <w:rPr>
                <w:rFonts w:asciiTheme="minorHAnsi" w:eastAsiaTheme="minorHAnsi" w:hAnsiTheme="minorHAnsi" w:cstheme="minorHAnsi"/>
                <w:i/>
                <w:snapToGrid/>
                <w:color w:val="FF0000"/>
                <w:sz w:val="22"/>
                <w:szCs w:val="22"/>
                <w:lang w:eastAsia="en-US"/>
              </w:rPr>
              <w:t>, mencionados en éste artículo, o a los productos derivados de dichos cereales, tales como productos de panificación, harinas, masas, queques,</w:t>
            </w:r>
            <w:r w:rsidRPr="00790513">
              <w:rPr>
                <w:rFonts w:asciiTheme="minorHAnsi" w:eastAsiaTheme="minorHAnsi" w:hAnsiTheme="minorHAnsi" w:cstheme="minorHAnsi"/>
                <w:snapToGrid/>
                <w:color w:val="FF0000"/>
                <w:sz w:val="22"/>
                <w:szCs w:val="22"/>
                <w:lang w:eastAsia="en-US"/>
              </w:rPr>
              <w:t xml:space="preserve"> </w:t>
            </w:r>
            <w:proofErr w:type="spellStart"/>
            <w:r w:rsidRPr="00790513">
              <w:rPr>
                <w:rFonts w:asciiTheme="minorHAnsi" w:eastAsiaTheme="minorHAnsi" w:hAnsiTheme="minorHAnsi" w:cstheme="minorHAnsi"/>
                <w:i/>
                <w:snapToGrid/>
                <w:color w:val="FF0000"/>
                <w:sz w:val="22"/>
                <w:szCs w:val="22"/>
                <w:lang w:eastAsia="en-US"/>
              </w:rPr>
              <w:t>premezclas</w:t>
            </w:r>
            <w:proofErr w:type="spellEnd"/>
            <w:r w:rsidRPr="00790513">
              <w:rPr>
                <w:rFonts w:asciiTheme="minorHAnsi" w:eastAsiaTheme="minorHAnsi" w:hAnsiTheme="minorHAnsi" w:cstheme="minorHAnsi"/>
                <w:i/>
                <w:snapToGrid/>
                <w:color w:val="FF0000"/>
                <w:sz w:val="22"/>
                <w:szCs w:val="22"/>
                <w:lang w:eastAsia="en-US"/>
              </w:rPr>
              <w:t xml:space="preserve"> en polvo, galletas, pastas y derivados, entre otros ejemplos de productos elaborados que rotulan “Libre de gluten” u otras leyendas similares.</w:t>
            </w:r>
          </w:p>
          <w:p w:rsidR="00882CE7" w:rsidRPr="00790513" w:rsidRDefault="00882CE7" w:rsidP="009829C3">
            <w:pPr>
              <w:jc w:val="both"/>
              <w:rPr>
                <w:rFonts w:asciiTheme="minorHAnsi" w:hAnsiTheme="minorHAnsi" w:cstheme="minorHAnsi"/>
                <w:sz w:val="22"/>
                <w:szCs w:val="22"/>
              </w:rPr>
            </w:pPr>
          </w:p>
        </w:tc>
        <w:tc>
          <w:tcPr>
            <w:tcW w:w="3402" w:type="dxa"/>
          </w:tcPr>
          <w:p w:rsidR="00424532" w:rsidRDefault="00424532" w:rsidP="008C3FDF">
            <w:pPr>
              <w:jc w:val="both"/>
              <w:rPr>
                <w:rFonts w:asciiTheme="minorHAnsi" w:hAnsiTheme="minorHAnsi" w:cstheme="minorHAnsi"/>
                <w:sz w:val="22"/>
                <w:szCs w:val="22"/>
                <w:lang w:val="es-ES_tradnl"/>
              </w:rPr>
            </w:pPr>
          </w:p>
          <w:p w:rsidR="009829C3" w:rsidRDefault="006E3139" w:rsidP="00676AB7">
            <w:pPr>
              <w:pStyle w:val="Prrafodelista"/>
              <w:numPr>
                <w:ilvl w:val="0"/>
                <w:numId w:val="9"/>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En general, todas l</w:t>
            </w:r>
            <w:r w:rsidR="00424532" w:rsidRPr="00676AB7">
              <w:rPr>
                <w:rFonts w:asciiTheme="minorHAnsi" w:hAnsiTheme="minorHAnsi" w:cstheme="minorHAnsi"/>
                <w:sz w:val="22"/>
                <w:szCs w:val="22"/>
                <w:lang w:val="es-ES_tradnl"/>
              </w:rPr>
              <w:t>as disposiciones propuestas en el proyecto tienen el objetivo de ejecut</w:t>
            </w:r>
            <w:r w:rsidR="00DC1B74" w:rsidRPr="00676AB7">
              <w:rPr>
                <w:rFonts w:asciiTheme="minorHAnsi" w:hAnsiTheme="minorHAnsi" w:cstheme="minorHAnsi"/>
                <w:sz w:val="22"/>
                <w:szCs w:val="22"/>
                <w:lang w:val="es-ES_tradnl"/>
              </w:rPr>
              <w:t>ar el mandato entregado por lo establecido</w:t>
            </w:r>
            <w:r w:rsidR="008C3FDF" w:rsidRPr="00676AB7">
              <w:rPr>
                <w:rFonts w:asciiTheme="minorHAnsi" w:hAnsiTheme="minorHAnsi" w:cstheme="minorHAnsi"/>
                <w:sz w:val="22"/>
                <w:szCs w:val="22"/>
                <w:lang w:val="es-ES_tradnl"/>
              </w:rPr>
              <w:t xml:space="preserve"> en la </w:t>
            </w:r>
            <w:r w:rsidR="00111A36">
              <w:rPr>
                <w:rFonts w:asciiTheme="minorHAnsi" w:hAnsiTheme="minorHAnsi" w:cstheme="minorHAnsi"/>
                <w:sz w:val="22"/>
                <w:szCs w:val="22"/>
                <w:lang w:val="es-ES_tradnl"/>
              </w:rPr>
              <w:t>Ley N° 21.</w:t>
            </w:r>
            <w:r w:rsidR="008C3FDF" w:rsidRPr="00676AB7">
              <w:rPr>
                <w:rFonts w:asciiTheme="minorHAnsi" w:hAnsiTheme="minorHAnsi" w:cstheme="minorHAnsi"/>
                <w:sz w:val="22"/>
                <w:szCs w:val="22"/>
                <w:lang w:val="es-ES_tradnl"/>
              </w:rPr>
              <w:t>3</w:t>
            </w:r>
            <w:r w:rsidR="00111A36">
              <w:rPr>
                <w:rFonts w:asciiTheme="minorHAnsi" w:hAnsiTheme="minorHAnsi" w:cstheme="minorHAnsi"/>
                <w:sz w:val="22"/>
                <w:szCs w:val="22"/>
                <w:lang w:val="es-ES_tradnl"/>
              </w:rPr>
              <w:t>6</w:t>
            </w:r>
            <w:r w:rsidR="008C3FDF" w:rsidRPr="00676AB7">
              <w:rPr>
                <w:rFonts w:asciiTheme="minorHAnsi" w:hAnsiTheme="minorHAnsi" w:cstheme="minorHAnsi"/>
                <w:sz w:val="22"/>
                <w:szCs w:val="22"/>
                <w:lang w:val="es-ES_tradnl"/>
              </w:rPr>
              <w:t xml:space="preserve">2 </w:t>
            </w:r>
            <w:hyperlink r:id="rId5" w:history="1">
              <w:r w:rsidR="008C3FDF" w:rsidRPr="00676AB7">
                <w:rPr>
                  <w:rStyle w:val="Hipervnculo"/>
                  <w:rFonts w:asciiTheme="minorHAnsi" w:hAnsiTheme="minorHAnsi" w:cstheme="minorHAnsi"/>
                  <w:sz w:val="22"/>
                  <w:szCs w:val="22"/>
                  <w:lang w:val="es-ES_tradnl"/>
                </w:rPr>
                <w:t>https://www.bcn.cl/leychile/navegar?idNorma=1163923&amp;tipoVersion=0</w:t>
              </w:r>
            </w:hyperlink>
            <w:r w:rsidR="008C3FDF" w:rsidRPr="00676AB7">
              <w:rPr>
                <w:rFonts w:asciiTheme="minorHAnsi" w:hAnsiTheme="minorHAnsi" w:cstheme="minorHAnsi"/>
                <w:sz w:val="22"/>
                <w:szCs w:val="22"/>
                <w:lang w:val="es-ES_tradnl"/>
              </w:rPr>
              <w:t xml:space="preserve"> </w:t>
            </w:r>
          </w:p>
          <w:p w:rsidR="00676AB7" w:rsidRDefault="00B04FE2" w:rsidP="00676AB7">
            <w:pPr>
              <w:pStyle w:val="Prrafodelista"/>
              <w:numPr>
                <w:ilvl w:val="0"/>
                <w:numId w:val="9"/>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Para</w:t>
            </w:r>
            <w:r w:rsidR="00676AB7">
              <w:rPr>
                <w:rFonts w:asciiTheme="minorHAnsi" w:hAnsiTheme="minorHAnsi" w:cstheme="minorHAnsi"/>
                <w:sz w:val="22"/>
                <w:szCs w:val="22"/>
                <w:lang w:val="es-ES_tradnl"/>
              </w:rPr>
              <w:t xml:space="preserve"> la ejecución del mandato de la Ley, </w:t>
            </w:r>
            <w:r>
              <w:rPr>
                <w:rFonts w:asciiTheme="minorHAnsi" w:hAnsiTheme="minorHAnsi" w:cstheme="minorHAnsi"/>
                <w:sz w:val="22"/>
                <w:szCs w:val="22"/>
                <w:lang w:val="es-ES_tradnl"/>
              </w:rPr>
              <w:t xml:space="preserve">se permite </w:t>
            </w:r>
            <w:r w:rsidR="00676AB7">
              <w:rPr>
                <w:rFonts w:asciiTheme="minorHAnsi" w:hAnsiTheme="minorHAnsi" w:cstheme="minorHAnsi"/>
                <w:sz w:val="22"/>
                <w:szCs w:val="22"/>
                <w:lang w:val="es-ES_tradnl"/>
              </w:rPr>
              <w:t>una flexibilidad en la declaración tanto de la leyenda “libre de Gluten”, como del símbolo de “espiga de trigo tachada</w:t>
            </w:r>
            <w:r w:rsidR="00FD10EB">
              <w:rPr>
                <w:rFonts w:asciiTheme="minorHAnsi" w:hAnsiTheme="minorHAnsi" w:cstheme="minorHAnsi"/>
                <w:sz w:val="22"/>
                <w:szCs w:val="22"/>
                <w:lang w:val="es-ES_tradnl"/>
              </w:rPr>
              <w:t>”, aceptando</w:t>
            </w:r>
            <w:r>
              <w:rPr>
                <w:rFonts w:asciiTheme="minorHAnsi" w:hAnsiTheme="minorHAnsi" w:cstheme="minorHAnsi"/>
                <w:sz w:val="22"/>
                <w:szCs w:val="22"/>
                <w:lang w:val="es-ES_tradnl"/>
              </w:rPr>
              <w:t xml:space="preserve"> declaraciones similares para ambos aspectos, </w:t>
            </w:r>
            <w:r w:rsidR="00676AB7">
              <w:rPr>
                <w:rFonts w:asciiTheme="minorHAnsi" w:hAnsiTheme="minorHAnsi" w:cstheme="minorHAnsi"/>
                <w:sz w:val="22"/>
                <w:szCs w:val="22"/>
                <w:lang w:val="es-ES_tradnl"/>
              </w:rPr>
              <w:t xml:space="preserve">atendiendo a la diversidad de </w:t>
            </w:r>
            <w:r>
              <w:rPr>
                <w:rFonts w:asciiTheme="minorHAnsi" w:hAnsiTheme="minorHAnsi" w:cstheme="minorHAnsi"/>
                <w:sz w:val="22"/>
                <w:szCs w:val="22"/>
                <w:lang w:val="es-ES_tradnl"/>
              </w:rPr>
              <w:t xml:space="preserve">leyendas y símbolos presentes </w:t>
            </w:r>
            <w:r w:rsidR="00FD10EB">
              <w:rPr>
                <w:rFonts w:asciiTheme="minorHAnsi" w:hAnsiTheme="minorHAnsi" w:cstheme="minorHAnsi"/>
                <w:sz w:val="22"/>
                <w:szCs w:val="22"/>
                <w:lang w:val="es-ES_tradnl"/>
              </w:rPr>
              <w:t xml:space="preserve">actualmente </w:t>
            </w:r>
            <w:r>
              <w:rPr>
                <w:rFonts w:asciiTheme="minorHAnsi" w:hAnsiTheme="minorHAnsi" w:cstheme="minorHAnsi"/>
                <w:sz w:val="22"/>
                <w:szCs w:val="22"/>
                <w:lang w:val="es-ES_tradnl"/>
              </w:rPr>
              <w:t>en el mercado nacional e internacional</w:t>
            </w:r>
            <w:r w:rsidR="00FD10EB">
              <w:rPr>
                <w:rFonts w:asciiTheme="minorHAnsi" w:hAnsiTheme="minorHAnsi" w:cstheme="minorHAnsi"/>
                <w:sz w:val="22"/>
                <w:szCs w:val="22"/>
                <w:lang w:val="es-ES_tradnl"/>
              </w:rPr>
              <w:t xml:space="preserve"> que </w:t>
            </w:r>
            <w:r w:rsidR="006E3139">
              <w:rPr>
                <w:rFonts w:asciiTheme="minorHAnsi" w:hAnsiTheme="minorHAnsi" w:cstheme="minorHAnsi"/>
                <w:sz w:val="22"/>
                <w:szCs w:val="22"/>
                <w:lang w:val="es-ES_tradnl"/>
              </w:rPr>
              <w:t>cumplen</w:t>
            </w:r>
            <w:r w:rsidR="00FD10EB">
              <w:rPr>
                <w:rFonts w:asciiTheme="minorHAnsi" w:hAnsiTheme="minorHAnsi" w:cstheme="minorHAnsi"/>
                <w:sz w:val="22"/>
                <w:szCs w:val="22"/>
                <w:lang w:val="es-ES_tradnl"/>
              </w:rPr>
              <w:t xml:space="preserve"> mismo </w:t>
            </w:r>
            <w:r w:rsidR="00FD10EB">
              <w:rPr>
                <w:rFonts w:asciiTheme="minorHAnsi" w:hAnsiTheme="minorHAnsi" w:cstheme="minorHAnsi"/>
                <w:sz w:val="22"/>
                <w:szCs w:val="22"/>
                <w:lang w:val="es-ES_tradnl"/>
              </w:rPr>
              <w:lastRenderedPageBreak/>
              <w:t xml:space="preserve">objetivo sobre informar al consumidor sobre la condición de ser “libre de Gluten” de </w:t>
            </w:r>
            <w:r w:rsidR="006E3139">
              <w:rPr>
                <w:rFonts w:asciiTheme="minorHAnsi" w:hAnsiTheme="minorHAnsi" w:cstheme="minorHAnsi"/>
                <w:sz w:val="22"/>
                <w:szCs w:val="22"/>
                <w:lang w:val="es-ES_tradnl"/>
              </w:rPr>
              <w:t>un producto alimenticio</w:t>
            </w:r>
            <w:r w:rsidR="00FD10EB">
              <w:rPr>
                <w:rFonts w:asciiTheme="minorHAnsi" w:hAnsiTheme="minorHAnsi" w:cstheme="minorHAnsi"/>
                <w:sz w:val="22"/>
                <w:szCs w:val="22"/>
                <w:lang w:val="es-ES_tradnl"/>
              </w:rPr>
              <w:t>.</w:t>
            </w:r>
          </w:p>
          <w:p w:rsidR="006E3139" w:rsidRDefault="006E3139" w:rsidP="00676AB7">
            <w:pPr>
              <w:pStyle w:val="Prrafodelista"/>
              <w:numPr>
                <w:ilvl w:val="0"/>
                <w:numId w:val="9"/>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Se incorpora en la regulación </w:t>
            </w:r>
            <w:r w:rsidR="00111A36">
              <w:rPr>
                <w:rFonts w:asciiTheme="minorHAnsi" w:hAnsiTheme="minorHAnsi" w:cstheme="minorHAnsi"/>
                <w:sz w:val="22"/>
                <w:szCs w:val="22"/>
                <w:lang w:val="es-ES_tradnl"/>
              </w:rPr>
              <w:t>la referencia a una futura Guía de buenas prácticas, elaborada por el Ministerio de Salud, según mandato de la Ley N° 21.362</w:t>
            </w:r>
          </w:p>
          <w:p w:rsidR="003E0874" w:rsidRDefault="00111A36" w:rsidP="003E0874">
            <w:pPr>
              <w:pStyle w:val="Prrafodelista"/>
              <w:numPr>
                <w:ilvl w:val="0"/>
                <w:numId w:val="9"/>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Se incorpora en el reglamento, el mandato </w:t>
            </w:r>
            <w:r w:rsidR="003E0874">
              <w:rPr>
                <w:rFonts w:asciiTheme="minorHAnsi" w:hAnsiTheme="minorHAnsi" w:cstheme="minorHAnsi"/>
                <w:sz w:val="22"/>
                <w:szCs w:val="22"/>
                <w:lang w:val="es-ES_tradnl"/>
              </w:rPr>
              <w:t xml:space="preserve">sobre disponer separadamente los productos “secos” libres de gluten, de otros productos no libres de gluten, y se establece la definición sobre alimentos “secos”, según mandato de la </w:t>
            </w:r>
            <w:r w:rsidR="003E0874" w:rsidRPr="003E0874">
              <w:rPr>
                <w:rFonts w:asciiTheme="minorHAnsi" w:hAnsiTheme="minorHAnsi" w:cstheme="minorHAnsi"/>
                <w:sz w:val="22"/>
                <w:szCs w:val="22"/>
                <w:lang w:val="es-ES_tradnl"/>
              </w:rPr>
              <w:t>Ley N° 21.362</w:t>
            </w:r>
            <w:r w:rsidR="00692B4A">
              <w:rPr>
                <w:rFonts w:asciiTheme="minorHAnsi" w:hAnsiTheme="minorHAnsi" w:cstheme="minorHAnsi"/>
                <w:sz w:val="22"/>
                <w:szCs w:val="22"/>
                <w:lang w:val="es-ES_tradnl"/>
              </w:rPr>
              <w:t xml:space="preserve">. </w:t>
            </w:r>
          </w:p>
          <w:p w:rsidR="00692B4A" w:rsidRDefault="00692B4A" w:rsidP="003E0874">
            <w:pPr>
              <w:pStyle w:val="Prrafodelista"/>
              <w:numPr>
                <w:ilvl w:val="0"/>
                <w:numId w:val="9"/>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Se incorpora una definición de alimentos “secos” circunscrita</w:t>
            </w:r>
            <w:r w:rsidR="007631C2">
              <w:rPr>
                <w:rFonts w:asciiTheme="minorHAnsi" w:hAnsiTheme="minorHAnsi" w:cstheme="minorHAnsi"/>
                <w:sz w:val="22"/>
                <w:szCs w:val="22"/>
                <w:lang w:val="es-ES_tradnl"/>
              </w:rPr>
              <w:t xml:space="preserve"> solamente</w:t>
            </w:r>
            <w:r>
              <w:rPr>
                <w:rFonts w:asciiTheme="minorHAnsi" w:hAnsiTheme="minorHAnsi" w:cstheme="minorHAnsi"/>
                <w:sz w:val="22"/>
                <w:szCs w:val="22"/>
                <w:lang w:val="es-ES_tradnl"/>
              </w:rPr>
              <w:t xml:space="preserve"> a aquellos productos que tienen mayo</w:t>
            </w:r>
            <w:r w:rsidR="007631C2">
              <w:rPr>
                <w:rFonts w:asciiTheme="minorHAnsi" w:hAnsiTheme="minorHAnsi" w:cstheme="minorHAnsi"/>
                <w:sz w:val="22"/>
                <w:szCs w:val="22"/>
                <w:lang w:val="es-ES_tradnl"/>
              </w:rPr>
              <w:t xml:space="preserve">r riesgo de contaminación y no a todos los productos que rotulen “Libre de Gluten”, </w:t>
            </w:r>
            <w:r w:rsidR="000F3136">
              <w:rPr>
                <w:rFonts w:asciiTheme="minorHAnsi" w:hAnsiTheme="minorHAnsi" w:cstheme="minorHAnsi"/>
                <w:sz w:val="22"/>
                <w:szCs w:val="22"/>
                <w:lang w:val="es-ES_tradnl"/>
              </w:rPr>
              <w:t xml:space="preserve">tanto </w:t>
            </w:r>
            <w:r w:rsidR="007631C2">
              <w:rPr>
                <w:rFonts w:asciiTheme="minorHAnsi" w:hAnsiTheme="minorHAnsi" w:cstheme="minorHAnsi"/>
                <w:sz w:val="22"/>
                <w:szCs w:val="22"/>
                <w:lang w:val="es-ES_tradnl"/>
              </w:rPr>
              <w:t xml:space="preserve">por motivos de viabilidad </w:t>
            </w:r>
            <w:r w:rsidR="007631C2">
              <w:rPr>
                <w:rFonts w:asciiTheme="minorHAnsi" w:hAnsiTheme="minorHAnsi" w:cstheme="minorHAnsi"/>
                <w:sz w:val="22"/>
                <w:szCs w:val="22"/>
                <w:lang w:val="es-ES_tradnl"/>
              </w:rPr>
              <w:lastRenderedPageBreak/>
              <w:t xml:space="preserve">operacional </w:t>
            </w:r>
            <w:r w:rsidR="000F3136">
              <w:rPr>
                <w:rFonts w:asciiTheme="minorHAnsi" w:hAnsiTheme="minorHAnsi" w:cstheme="minorHAnsi"/>
                <w:sz w:val="22"/>
                <w:szCs w:val="22"/>
                <w:lang w:val="es-ES_tradnl"/>
              </w:rPr>
              <w:t>en los establecimientos afectos a dicha disposición, como por motivos de prevención de un probable desincentivo a</w:t>
            </w:r>
            <w:r w:rsidR="004F7AA2">
              <w:rPr>
                <w:rFonts w:asciiTheme="minorHAnsi" w:hAnsiTheme="minorHAnsi" w:cstheme="minorHAnsi"/>
                <w:sz w:val="22"/>
                <w:szCs w:val="22"/>
                <w:lang w:val="es-ES_tradnl"/>
              </w:rPr>
              <w:t xml:space="preserve"> la elaboración de</w:t>
            </w:r>
            <w:r w:rsidR="000F3136">
              <w:rPr>
                <w:rFonts w:asciiTheme="minorHAnsi" w:hAnsiTheme="minorHAnsi" w:cstheme="minorHAnsi"/>
                <w:sz w:val="22"/>
                <w:szCs w:val="22"/>
                <w:lang w:val="es-ES_tradnl"/>
              </w:rPr>
              <w:t xml:space="preserve"> nuevos productos </w:t>
            </w:r>
            <w:r w:rsidR="004F7AA2">
              <w:rPr>
                <w:rFonts w:asciiTheme="minorHAnsi" w:hAnsiTheme="minorHAnsi" w:cstheme="minorHAnsi"/>
                <w:sz w:val="22"/>
                <w:szCs w:val="22"/>
                <w:lang w:val="es-ES_tradnl"/>
              </w:rPr>
              <w:t>“Libres de Gluten” que deberían comercializarse separadamente de otros productos análogos.</w:t>
            </w:r>
          </w:p>
          <w:p w:rsidR="00692B4A" w:rsidRPr="003E0874" w:rsidRDefault="00692B4A" w:rsidP="00692B4A">
            <w:pPr>
              <w:pStyle w:val="Prrafodelista"/>
              <w:jc w:val="both"/>
              <w:rPr>
                <w:rFonts w:asciiTheme="minorHAnsi" w:hAnsiTheme="minorHAnsi" w:cstheme="minorHAnsi"/>
                <w:sz w:val="22"/>
                <w:szCs w:val="22"/>
                <w:lang w:val="es-ES_tradnl"/>
              </w:rPr>
            </w:pPr>
          </w:p>
          <w:p w:rsidR="00111A36" w:rsidRPr="00676AB7" w:rsidRDefault="00111A36" w:rsidP="00692B4A">
            <w:pPr>
              <w:pStyle w:val="Prrafodelista"/>
              <w:jc w:val="both"/>
              <w:rPr>
                <w:rFonts w:asciiTheme="minorHAnsi" w:hAnsiTheme="minorHAnsi" w:cstheme="minorHAnsi"/>
                <w:sz w:val="22"/>
                <w:szCs w:val="22"/>
                <w:lang w:val="es-ES_tradnl"/>
              </w:rPr>
            </w:pPr>
          </w:p>
          <w:p w:rsidR="00DC1B74" w:rsidRDefault="00DC1B74" w:rsidP="008C3FDF">
            <w:pPr>
              <w:jc w:val="both"/>
              <w:rPr>
                <w:rFonts w:asciiTheme="minorHAnsi" w:hAnsiTheme="minorHAnsi" w:cstheme="minorHAnsi"/>
                <w:sz w:val="22"/>
                <w:szCs w:val="22"/>
                <w:lang w:val="es-ES_tradnl"/>
              </w:rPr>
            </w:pPr>
          </w:p>
          <w:p w:rsidR="00424532" w:rsidRDefault="00424532" w:rsidP="008C3FDF">
            <w:pPr>
              <w:jc w:val="both"/>
              <w:rPr>
                <w:rFonts w:asciiTheme="minorHAnsi" w:hAnsiTheme="minorHAnsi" w:cstheme="minorHAnsi"/>
                <w:sz w:val="22"/>
                <w:szCs w:val="22"/>
                <w:lang w:val="es-ES_tradnl"/>
              </w:rPr>
            </w:pPr>
          </w:p>
          <w:p w:rsidR="00424532" w:rsidRPr="00790513" w:rsidRDefault="00424532" w:rsidP="008C3FDF">
            <w:pPr>
              <w:jc w:val="both"/>
              <w:rPr>
                <w:rFonts w:asciiTheme="minorHAnsi" w:hAnsiTheme="minorHAnsi" w:cstheme="minorHAnsi"/>
                <w:sz w:val="22"/>
                <w:szCs w:val="22"/>
                <w:lang w:val="es-ES_tradnl"/>
              </w:rPr>
            </w:pPr>
          </w:p>
        </w:tc>
      </w:tr>
      <w:tr w:rsidR="00D820DD" w:rsidRPr="00790513" w:rsidTr="006701A1">
        <w:tc>
          <w:tcPr>
            <w:tcW w:w="4673" w:type="dxa"/>
          </w:tcPr>
          <w:p w:rsidR="00D820DD" w:rsidRPr="00790513" w:rsidRDefault="00D820DD" w:rsidP="00D820DD">
            <w:pPr>
              <w:jc w:val="both"/>
              <w:rPr>
                <w:rFonts w:asciiTheme="minorHAnsi" w:hAnsiTheme="minorHAnsi" w:cstheme="minorHAnsi"/>
                <w:b/>
                <w:bCs/>
                <w:sz w:val="22"/>
                <w:szCs w:val="22"/>
              </w:rPr>
            </w:pPr>
          </w:p>
          <w:p w:rsidR="00D820DD" w:rsidRPr="00790513" w:rsidRDefault="00D820DD" w:rsidP="00D820DD">
            <w:pPr>
              <w:jc w:val="both"/>
              <w:rPr>
                <w:rFonts w:asciiTheme="minorHAnsi" w:hAnsiTheme="minorHAnsi" w:cstheme="minorHAnsi"/>
                <w:sz w:val="22"/>
                <w:szCs w:val="22"/>
              </w:rPr>
            </w:pPr>
            <w:r w:rsidRPr="00790513">
              <w:rPr>
                <w:rFonts w:asciiTheme="minorHAnsi" w:hAnsiTheme="minorHAnsi" w:cstheme="minorHAnsi"/>
                <w:b/>
                <w:bCs/>
                <w:sz w:val="22"/>
                <w:szCs w:val="22"/>
              </w:rPr>
              <w:t>Artículo 518</w:t>
            </w:r>
            <w:r w:rsidRPr="00790513">
              <w:rPr>
                <w:rFonts w:asciiTheme="minorHAnsi" w:hAnsiTheme="minorHAnsi" w:cstheme="minorHAnsi"/>
                <w:sz w:val="22"/>
                <w:szCs w:val="22"/>
              </w:rPr>
              <w:t>.- El término “Libre de gluten” y el logo o símbolo de la espiga tachada, solo podrán utilizarse cuando el resultado del análisis de laboratorio del producto alimenticio no sobrepáselos 5 miligramos de gluten, de los cereales establecidos en el artículo 516, por kilogramo del producto listo para su entrega al consumidor final, de acuerdo a las técnicas analíticas que, para estos efectos, determine el Instituto de Salud Pública de Chile. La expresión “Libre de gluten” se rotulará en las proximidades del</w:t>
            </w:r>
            <w:r>
              <w:rPr>
                <w:rFonts w:asciiTheme="minorHAnsi" w:hAnsiTheme="minorHAnsi" w:cstheme="minorHAnsi"/>
                <w:sz w:val="22"/>
                <w:szCs w:val="22"/>
              </w:rPr>
              <w:t xml:space="preserve"> </w:t>
            </w:r>
            <w:r w:rsidRPr="00790513">
              <w:rPr>
                <w:rFonts w:asciiTheme="minorHAnsi" w:hAnsiTheme="minorHAnsi" w:cstheme="minorHAnsi"/>
                <w:sz w:val="22"/>
                <w:szCs w:val="22"/>
              </w:rPr>
              <w:t>nombre del producto, con caracteres de buen realce, tamaño y visibilidad.</w:t>
            </w:r>
          </w:p>
          <w:p w:rsidR="00D820DD" w:rsidRPr="00790513" w:rsidRDefault="00D820DD" w:rsidP="00D820DD">
            <w:pPr>
              <w:jc w:val="both"/>
              <w:rPr>
                <w:rFonts w:asciiTheme="minorHAnsi" w:hAnsiTheme="minorHAnsi" w:cstheme="minorHAnsi"/>
                <w:sz w:val="22"/>
                <w:szCs w:val="22"/>
              </w:rPr>
            </w:pPr>
          </w:p>
        </w:tc>
        <w:tc>
          <w:tcPr>
            <w:tcW w:w="4678" w:type="dxa"/>
          </w:tcPr>
          <w:p w:rsidR="00D820DD" w:rsidRDefault="00D820DD" w:rsidP="00D820DD">
            <w:pPr>
              <w:jc w:val="both"/>
              <w:rPr>
                <w:rFonts w:asciiTheme="minorHAnsi" w:hAnsiTheme="minorHAnsi" w:cstheme="minorHAnsi"/>
                <w:sz w:val="22"/>
                <w:szCs w:val="22"/>
                <w:lang w:val="es-ES_tradnl"/>
              </w:rPr>
            </w:pP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r w:rsidRPr="00D820DD">
              <w:rPr>
                <w:rFonts w:asciiTheme="minorHAnsi" w:eastAsiaTheme="minorHAnsi" w:hAnsiTheme="minorHAnsi" w:cstheme="minorBidi"/>
                <w:b/>
                <w:snapToGrid/>
                <w:sz w:val="22"/>
                <w:szCs w:val="22"/>
                <w:lang w:eastAsia="en-US"/>
              </w:rPr>
              <w:t>Artículo 518.-</w:t>
            </w:r>
            <w:r w:rsidRPr="00D820DD">
              <w:rPr>
                <w:rFonts w:asciiTheme="minorHAnsi" w:eastAsiaTheme="minorHAnsi" w:hAnsiTheme="minorHAnsi" w:cstheme="minorBidi"/>
                <w:snapToGrid/>
                <w:sz w:val="22"/>
                <w:szCs w:val="22"/>
                <w:lang w:eastAsia="en-US"/>
              </w:rPr>
              <w:t xml:space="preserve"> El término “Libre de gluten” y el logo o símbolo de la espiga tachada, solo podrán utilizarse cuando el resultado del análisis de laboratorio del producto alimenticio no sobrepase los 5 miligramos de gluten, de los cereales establecidos en el artículo 516, por kilogramo del producto listo para su entrega al consumidor final, de acuerdo a las técnicas analíticas que, para estos efectos, determine el Instituto de Salud Pública de </w:t>
            </w:r>
            <w:r w:rsidRPr="00D820DD">
              <w:rPr>
                <w:rFonts w:asciiTheme="minorHAnsi" w:eastAsiaTheme="minorHAnsi" w:hAnsiTheme="minorHAnsi" w:cstheme="minorBidi"/>
                <w:snapToGrid/>
                <w:color w:val="FF0000"/>
                <w:sz w:val="22"/>
                <w:szCs w:val="22"/>
                <w:lang w:eastAsia="en-US"/>
              </w:rPr>
              <w:t xml:space="preserve">Chile.  </w:t>
            </w: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r w:rsidRPr="00D820DD">
              <w:rPr>
                <w:rFonts w:asciiTheme="minorHAnsi" w:eastAsiaTheme="minorHAnsi" w:hAnsiTheme="minorHAnsi" w:cstheme="minorBidi"/>
                <w:snapToGrid/>
                <w:color w:val="FF0000"/>
                <w:sz w:val="22"/>
                <w:szCs w:val="22"/>
                <w:lang w:eastAsia="en-US"/>
              </w:rPr>
              <w:t xml:space="preserve">La expresión “Libre de gluten” u otras similares, deberá tener caracteres de buen realce, tamaño y visibilidad, permitiendo en todo momento su visibilidad e identificación, y deberá rotularse </w:t>
            </w:r>
            <w:r w:rsidRPr="00D820DD">
              <w:rPr>
                <w:rFonts w:asciiTheme="minorHAnsi" w:eastAsiaTheme="minorHAnsi" w:hAnsiTheme="minorHAnsi" w:cstheme="minorBidi"/>
                <w:snapToGrid/>
                <w:color w:val="FF0000"/>
                <w:sz w:val="22"/>
                <w:szCs w:val="22"/>
                <w:lang w:eastAsia="en-US"/>
              </w:rPr>
              <w:lastRenderedPageBreak/>
              <w:t xml:space="preserve">junto, o </w:t>
            </w:r>
            <w:r w:rsidR="008A699A" w:rsidRPr="00D820DD">
              <w:rPr>
                <w:rFonts w:asciiTheme="minorHAnsi" w:eastAsiaTheme="minorHAnsi" w:hAnsiTheme="minorHAnsi" w:cstheme="minorBidi"/>
                <w:snapToGrid/>
                <w:color w:val="FF0000"/>
                <w:sz w:val="22"/>
                <w:szCs w:val="22"/>
                <w:lang w:eastAsia="en-US"/>
              </w:rPr>
              <w:t>dentro a</w:t>
            </w:r>
            <w:r w:rsidRPr="00D820DD">
              <w:rPr>
                <w:rFonts w:asciiTheme="minorHAnsi" w:eastAsiaTheme="minorHAnsi" w:hAnsiTheme="minorHAnsi" w:cstheme="minorBidi"/>
                <w:snapToGrid/>
                <w:color w:val="FF0000"/>
                <w:sz w:val="22"/>
                <w:szCs w:val="22"/>
                <w:lang w:eastAsia="en-US"/>
              </w:rPr>
              <w:t xml:space="preserve"> un símbolo de “espiga tachada”. Asimismo, la expresión “libre de gluten” y el símbolo de la espiga tachada se deberán ubicar en la cara principal de la etiqueta de los productos. </w:t>
            </w: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r w:rsidRPr="00D820DD">
              <w:rPr>
                <w:rFonts w:asciiTheme="minorHAnsi" w:eastAsiaTheme="minorHAnsi" w:hAnsiTheme="minorHAnsi" w:cstheme="minorBidi"/>
                <w:snapToGrid/>
                <w:color w:val="FF0000"/>
                <w:sz w:val="22"/>
                <w:szCs w:val="22"/>
                <w:lang w:eastAsia="en-US"/>
              </w:rPr>
              <w:t>Las características gráficas del símbolo “espiga tachada” mencionada en este artículo, corresponderá a un círculo en cuyo interior deberá incluir la representación de una o más espigas de trigo. Todo este símbolo estará cruzado por una línea oblicua, tal como se presenta a modo de ejemplo, en el siguiente diagrama:</w:t>
            </w: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r w:rsidRPr="00D820DD">
              <w:rPr>
                <w:rFonts w:asciiTheme="minorHAnsi" w:eastAsiaTheme="minorHAnsi" w:hAnsiTheme="minorHAnsi" w:cstheme="minorBidi"/>
                <w:snapToGrid/>
                <w:color w:val="FF0000"/>
                <w:sz w:val="22"/>
                <w:szCs w:val="22"/>
                <w:lang w:eastAsia="en-US"/>
              </w:rPr>
              <w:t xml:space="preserve">  </w:t>
            </w:r>
            <w:r w:rsidRPr="00D820DD">
              <w:rPr>
                <w:rFonts w:asciiTheme="minorHAnsi" w:eastAsiaTheme="minorHAnsi" w:hAnsiTheme="minorHAnsi" w:cstheme="minorBidi"/>
                <w:noProof/>
                <w:snapToGrid/>
                <w:sz w:val="22"/>
                <w:szCs w:val="22"/>
                <w:lang w:val="en-US" w:eastAsia="en-US"/>
              </w:rPr>
              <w:drawing>
                <wp:inline distT="0" distB="0" distL="0" distR="0" wp14:anchorId="1537ABEE" wp14:editId="13CB7380">
                  <wp:extent cx="1051258" cy="10101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9964" cy="1028122"/>
                          </a:xfrm>
                          <a:prstGeom prst="rect">
                            <a:avLst/>
                          </a:prstGeom>
                        </pic:spPr>
                      </pic:pic>
                    </a:graphicData>
                  </a:graphic>
                </wp:inline>
              </w:drawing>
            </w: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r w:rsidRPr="00D820DD">
              <w:rPr>
                <w:rFonts w:asciiTheme="minorHAnsi" w:eastAsiaTheme="minorHAnsi" w:hAnsiTheme="minorHAnsi" w:cstheme="minorBidi"/>
                <w:snapToGrid/>
                <w:color w:val="FF0000"/>
                <w:sz w:val="22"/>
                <w:szCs w:val="22"/>
                <w:lang w:eastAsia="en-US"/>
              </w:rPr>
              <w:t>Las dimensiones del símbolo de espiga tachada referido anteriormente, estarán determinadas de acuerdo al área de la cara principal de la etiqueta del producto, según se indica en el cuadro siguiente:</w:t>
            </w: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p>
          <w:tbl>
            <w:tblPr>
              <w:tblStyle w:val="Tablaconcuadrcula"/>
              <w:tblW w:w="4424" w:type="dxa"/>
              <w:tblLayout w:type="fixed"/>
              <w:tblLook w:val="04A0" w:firstRow="1" w:lastRow="0" w:firstColumn="1" w:lastColumn="0" w:noHBand="0" w:noVBand="1"/>
            </w:tblPr>
            <w:tblGrid>
              <w:gridCol w:w="1309"/>
              <w:gridCol w:w="1701"/>
              <w:gridCol w:w="1414"/>
            </w:tblGrid>
            <w:tr w:rsidR="00D820DD" w:rsidRPr="00D820DD" w:rsidTr="00C45473">
              <w:tc>
                <w:tcPr>
                  <w:tcW w:w="1309" w:type="dxa"/>
                </w:tcPr>
                <w:p w:rsidR="00D820DD" w:rsidRPr="00D820DD" w:rsidRDefault="00D820DD" w:rsidP="00D820DD">
                  <w:pPr>
                    <w:widowControl/>
                    <w:jc w:val="both"/>
                    <w:rPr>
                      <w:rFonts w:asciiTheme="minorHAnsi" w:eastAsiaTheme="minorHAnsi" w:hAnsiTheme="minorHAnsi" w:cstheme="minorBidi"/>
                      <w:b/>
                      <w:color w:val="FF0000"/>
                      <w:sz w:val="22"/>
                      <w:szCs w:val="22"/>
                      <w:lang w:eastAsia="en-US"/>
                    </w:rPr>
                  </w:pPr>
                  <w:r w:rsidRPr="00D820DD">
                    <w:rPr>
                      <w:rFonts w:asciiTheme="minorHAnsi" w:eastAsiaTheme="minorHAnsi" w:hAnsiTheme="minorHAnsi" w:cstheme="minorBidi"/>
                      <w:b/>
                      <w:color w:val="FF0000"/>
                      <w:sz w:val="22"/>
                      <w:szCs w:val="22"/>
                      <w:lang w:eastAsia="en-US"/>
                    </w:rPr>
                    <w:t xml:space="preserve">Área de la cara </w:t>
                  </w:r>
                  <w:r w:rsidRPr="00D820DD">
                    <w:rPr>
                      <w:rFonts w:asciiTheme="minorHAnsi" w:eastAsiaTheme="minorHAnsi" w:hAnsiTheme="minorHAnsi" w:cstheme="minorBidi"/>
                      <w:b/>
                      <w:color w:val="FF0000"/>
                      <w:sz w:val="22"/>
                      <w:szCs w:val="22"/>
                      <w:lang w:eastAsia="en-US"/>
                    </w:rPr>
                    <w:lastRenderedPageBreak/>
                    <w:t>principal de la etiqueta</w:t>
                  </w:r>
                </w:p>
              </w:tc>
              <w:tc>
                <w:tcPr>
                  <w:tcW w:w="1701" w:type="dxa"/>
                </w:tcPr>
                <w:p w:rsidR="00D820DD" w:rsidRPr="00D820DD" w:rsidRDefault="00D820DD" w:rsidP="00D820DD">
                  <w:pPr>
                    <w:widowControl/>
                    <w:jc w:val="both"/>
                    <w:rPr>
                      <w:rFonts w:asciiTheme="minorHAnsi" w:eastAsiaTheme="minorHAnsi" w:hAnsiTheme="minorHAnsi" w:cstheme="minorBidi"/>
                      <w:b/>
                      <w:color w:val="FF0000"/>
                      <w:sz w:val="22"/>
                      <w:szCs w:val="22"/>
                      <w:lang w:eastAsia="en-US"/>
                    </w:rPr>
                  </w:pPr>
                  <w:r w:rsidRPr="00D820DD">
                    <w:rPr>
                      <w:rFonts w:asciiTheme="minorHAnsi" w:eastAsiaTheme="minorHAnsi" w:hAnsiTheme="minorHAnsi" w:cstheme="minorBidi"/>
                      <w:b/>
                      <w:color w:val="FF0000"/>
                      <w:sz w:val="22"/>
                      <w:szCs w:val="22"/>
                      <w:lang w:eastAsia="en-US"/>
                    </w:rPr>
                    <w:lastRenderedPageBreak/>
                    <w:t xml:space="preserve">Dimensiones </w:t>
                  </w:r>
                  <w:r w:rsidR="005A2A07" w:rsidRPr="00D820DD">
                    <w:rPr>
                      <w:rFonts w:asciiTheme="minorHAnsi" w:eastAsiaTheme="minorHAnsi" w:hAnsiTheme="minorHAnsi" w:cstheme="minorBidi"/>
                      <w:b/>
                      <w:color w:val="FF0000"/>
                      <w:sz w:val="22"/>
                      <w:szCs w:val="22"/>
                      <w:lang w:eastAsia="en-US"/>
                    </w:rPr>
                    <w:t>mínimas</w:t>
                  </w:r>
                  <w:r w:rsidRPr="00D820DD">
                    <w:rPr>
                      <w:rFonts w:asciiTheme="minorHAnsi" w:eastAsiaTheme="minorHAnsi" w:hAnsiTheme="minorHAnsi" w:cstheme="minorBidi"/>
                      <w:b/>
                      <w:color w:val="FF0000"/>
                      <w:sz w:val="22"/>
                      <w:szCs w:val="22"/>
                      <w:lang w:eastAsia="en-US"/>
                    </w:rPr>
                    <w:t xml:space="preserve"> del </w:t>
                  </w:r>
                  <w:r w:rsidRPr="00D820DD">
                    <w:rPr>
                      <w:rFonts w:asciiTheme="minorHAnsi" w:eastAsiaTheme="minorHAnsi" w:hAnsiTheme="minorHAnsi" w:cstheme="minorBidi"/>
                      <w:b/>
                      <w:color w:val="FF0000"/>
                      <w:sz w:val="22"/>
                      <w:szCs w:val="22"/>
                      <w:lang w:eastAsia="en-US"/>
                    </w:rPr>
                    <w:lastRenderedPageBreak/>
                    <w:t>símbolo “espiga tachada”</w:t>
                  </w:r>
                </w:p>
              </w:tc>
              <w:tc>
                <w:tcPr>
                  <w:tcW w:w="1414" w:type="dxa"/>
                </w:tcPr>
                <w:p w:rsidR="00D820DD" w:rsidRPr="00D820DD" w:rsidRDefault="00D820DD" w:rsidP="00D820DD">
                  <w:pPr>
                    <w:widowControl/>
                    <w:jc w:val="both"/>
                    <w:rPr>
                      <w:rFonts w:asciiTheme="minorHAnsi" w:eastAsiaTheme="minorHAnsi" w:hAnsiTheme="minorHAnsi" w:cstheme="minorBidi"/>
                      <w:b/>
                      <w:color w:val="FF0000"/>
                      <w:sz w:val="22"/>
                      <w:szCs w:val="22"/>
                      <w:lang w:eastAsia="en-US"/>
                    </w:rPr>
                  </w:pPr>
                  <w:r w:rsidRPr="00D820DD">
                    <w:rPr>
                      <w:rFonts w:asciiTheme="minorHAnsi" w:eastAsiaTheme="minorHAnsi" w:hAnsiTheme="minorHAnsi" w:cstheme="minorBidi"/>
                      <w:b/>
                      <w:color w:val="FF0000"/>
                      <w:sz w:val="22"/>
                      <w:szCs w:val="22"/>
                      <w:lang w:eastAsia="en-US"/>
                    </w:rPr>
                    <w:lastRenderedPageBreak/>
                    <w:t xml:space="preserve">Dimensiones máximas del símbolo </w:t>
                  </w:r>
                  <w:r w:rsidRPr="00D820DD">
                    <w:rPr>
                      <w:rFonts w:asciiTheme="minorHAnsi" w:eastAsiaTheme="minorHAnsi" w:hAnsiTheme="minorHAnsi" w:cstheme="minorBidi"/>
                      <w:b/>
                      <w:color w:val="FF0000"/>
                      <w:sz w:val="22"/>
                      <w:szCs w:val="22"/>
                      <w:lang w:eastAsia="en-US"/>
                    </w:rPr>
                    <w:lastRenderedPageBreak/>
                    <w:t>“espiga tachada”</w:t>
                  </w:r>
                </w:p>
              </w:tc>
            </w:tr>
            <w:tr w:rsidR="00D820DD" w:rsidRPr="00D820DD" w:rsidTr="00C45473">
              <w:tc>
                <w:tcPr>
                  <w:tcW w:w="1309"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lastRenderedPageBreak/>
                    <w:t>Menor a 30 cm2</w:t>
                  </w:r>
                </w:p>
              </w:tc>
              <w:tc>
                <w:tcPr>
                  <w:tcW w:w="1701"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Rotula en el envase mayor que los contenga</w:t>
                  </w:r>
                </w:p>
              </w:tc>
              <w:tc>
                <w:tcPr>
                  <w:tcW w:w="1414"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Rotula en el envase mayor que los contenga</w:t>
                  </w:r>
                </w:p>
              </w:tc>
            </w:tr>
            <w:tr w:rsidR="00D820DD" w:rsidRPr="00D820DD" w:rsidTr="00C45473">
              <w:tc>
                <w:tcPr>
                  <w:tcW w:w="1309"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Entre 30 y menor a 100 cm2</w:t>
                  </w:r>
                </w:p>
              </w:tc>
              <w:tc>
                <w:tcPr>
                  <w:tcW w:w="1701"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1 x 1 cm</w:t>
                  </w:r>
                </w:p>
              </w:tc>
              <w:tc>
                <w:tcPr>
                  <w:tcW w:w="1414"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2 x 2 cm</w:t>
                  </w:r>
                </w:p>
              </w:tc>
            </w:tr>
            <w:tr w:rsidR="00D820DD" w:rsidRPr="00D820DD" w:rsidTr="00C45473">
              <w:tc>
                <w:tcPr>
                  <w:tcW w:w="1309"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 xml:space="preserve">Mayor o igual a 100 cm2 </w:t>
                  </w:r>
                </w:p>
              </w:tc>
              <w:tc>
                <w:tcPr>
                  <w:tcW w:w="1701"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2 x 2 cm</w:t>
                  </w:r>
                </w:p>
              </w:tc>
              <w:tc>
                <w:tcPr>
                  <w:tcW w:w="1414" w:type="dxa"/>
                </w:tcPr>
                <w:p w:rsidR="00D820DD" w:rsidRPr="00D820DD" w:rsidRDefault="00D820DD" w:rsidP="00D820DD">
                  <w:pPr>
                    <w:widowControl/>
                    <w:jc w:val="both"/>
                    <w:rPr>
                      <w:rFonts w:asciiTheme="minorHAnsi" w:eastAsiaTheme="minorHAnsi" w:hAnsiTheme="minorHAnsi" w:cstheme="minorBidi"/>
                      <w:color w:val="FF0000"/>
                      <w:sz w:val="22"/>
                      <w:szCs w:val="22"/>
                      <w:lang w:eastAsia="en-US"/>
                    </w:rPr>
                  </w:pPr>
                  <w:r w:rsidRPr="00D820DD">
                    <w:rPr>
                      <w:rFonts w:asciiTheme="minorHAnsi" w:eastAsiaTheme="minorHAnsi" w:hAnsiTheme="minorHAnsi" w:cstheme="minorBidi"/>
                      <w:color w:val="FF0000"/>
                      <w:sz w:val="22"/>
                      <w:szCs w:val="22"/>
                      <w:lang w:eastAsia="en-US"/>
                    </w:rPr>
                    <w:t>3 x 3 cm</w:t>
                  </w:r>
                </w:p>
              </w:tc>
            </w:tr>
          </w:tbl>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r w:rsidRPr="00D820DD">
              <w:rPr>
                <w:rFonts w:asciiTheme="minorHAnsi" w:eastAsiaTheme="minorHAnsi" w:hAnsiTheme="minorHAnsi" w:cstheme="minorBidi"/>
                <w:snapToGrid/>
                <w:color w:val="FF0000"/>
                <w:sz w:val="22"/>
                <w:szCs w:val="22"/>
                <w:lang w:eastAsia="en-US"/>
              </w:rPr>
              <w:t>En el caso de los alimentos envasados cuya área de la cara principal de la etiqueta sea menor a 30 cm2, el símbolo de espiga tachada, deberá rotularse en el envase mayor que los contenga.</w:t>
            </w:r>
          </w:p>
          <w:p w:rsidR="00D820DD" w:rsidRPr="00D820DD" w:rsidRDefault="00D820DD" w:rsidP="00D820DD">
            <w:pPr>
              <w:widowControl/>
              <w:spacing w:after="160" w:line="259" w:lineRule="auto"/>
              <w:jc w:val="both"/>
              <w:rPr>
                <w:rFonts w:asciiTheme="minorHAnsi" w:eastAsiaTheme="minorHAnsi" w:hAnsiTheme="minorHAnsi" w:cstheme="minorBidi"/>
                <w:snapToGrid/>
                <w:color w:val="FF0000"/>
                <w:sz w:val="22"/>
                <w:szCs w:val="22"/>
                <w:lang w:eastAsia="en-US"/>
              </w:rPr>
            </w:pPr>
            <w:r w:rsidRPr="00D820DD">
              <w:rPr>
                <w:rFonts w:asciiTheme="minorHAnsi" w:eastAsiaTheme="minorHAnsi" w:hAnsiTheme="minorHAnsi" w:cstheme="minorBidi"/>
                <w:snapToGrid/>
                <w:color w:val="FF0000"/>
                <w:sz w:val="22"/>
                <w:szCs w:val="22"/>
                <w:lang w:eastAsia="en-US"/>
              </w:rPr>
              <w:t>En el caso de los envases cuya área de la cara principal de la etiqueta sea menor a 60 cm2 y mayor a 30 cm2, podrán rotular el símbolo en otra cara visible del envase.</w:t>
            </w:r>
          </w:p>
          <w:p w:rsidR="00D820DD" w:rsidRPr="00D820DD" w:rsidRDefault="00D820DD" w:rsidP="00D820DD">
            <w:pPr>
              <w:widowControl/>
              <w:spacing w:after="160" w:line="259" w:lineRule="auto"/>
              <w:jc w:val="both"/>
              <w:rPr>
                <w:rFonts w:asciiTheme="minorHAnsi" w:eastAsiaTheme="minorHAnsi" w:hAnsiTheme="minorHAnsi" w:cstheme="minorBidi"/>
                <w:snapToGrid/>
                <w:sz w:val="22"/>
                <w:szCs w:val="22"/>
                <w:lang w:eastAsia="en-US"/>
              </w:rPr>
            </w:pPr>
            <w:r w:rsidRPr="00D820DD">
              <w:rPr>
                <w:rFonts w:asciiTheme="minorHAnsi" w:eastAsiaTheme="minorHAnsi" w:hAnsiTheme="minorHAnsi" w:cstheme="minorBidi"/>
                <w:snapToGrid/>
                <w:color w:val="FF0000"/>
                <w:sz w:val="22"/>
                <w:szCs w:val="22"/>
                <w:lang w:eastAsia="en-US"/>
              </w:rPr>
              <w:t xml:space="preserve">Cuando la información especificada en este artículo no haya sido considerada en el diseño de la gráfica original de la rotulación, se permitirá adherirla en la etiqueta o envase, de modo indeleble, y de acuerdo al tamaño, ubicación y demás características establecidas en este reglamento. </w:t>
            </w:r>
          </w:p>
          <w:p w:rsidR="00D820DD" w:rsidRDefault="00D820DD" w:rsidP="00D820DD">
            <w:pPr>
              <w:jc w:val="both"/>
              <w:rPr>
                <w:rFonts w:asciiTheme="minorHAnsi" w:hAnsiTheme="minorHAnsi" w:cstheme="minorHAnsi"/>
                <w:sz w:val="22"/>
                <w:szCs w:val="22"/>
              </w:rPr>
            </w:pPr>
          </w:p>
          <w:p w:rsidR="006701A1" w:rsidRPr="00D820DD" w:rsidRDefault="006701A1" w:rsidP="00D820DD">
            <w:pPr>
              <w:jc w:val="both"/>
              <w:rPr>
                <w:rFonts w:asciiTheme="minorHAnsi" w:hAnsiTheme="minorHAnsi" w:cstheme="minorHAnsi"/>
                <w:sz w:val="22"/>
                <w:szCs w:val="22"/>
              </w:rPr>
            </w:pPr>
          </w:p>
        </w:tc>
        <w:tc>
          <w:tcPr>
            <w:tcW w:w="3402" w:type="dxa"/>
          </w:tcPr>
          <w:p w:rsidR="00D820DD" w:rsidRDefault="008A699A" w:rsidP="008A699A">
            <w:pPr>
              <w:pStyle w:val="Prrafodelista"/>
              <w:numPr>
                <w:ilvl w:val="0"/>
                <w:numId w:val="10"/>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lastRenderedPageBreak/>
              <w:t>Se establecen las características gráficas y ubicación de la leyenda “Libre de Gluten” y del símbolo de “espiga tachada”, según mandato de la Ley N° 21.362.</w:t>
            </w:r>
          </w:p>
          <w:p w:rsidR="008E1A1B" w:rsidRPr="008E1A1B" w:rsidRDefault="008E1A1B" w:rsidP="008E1A1B">
            <w:pPr>
              <w:pStyle w:val="Prrafodelista"/>
              <w:numPr>
                <w:ilvl w:val="0"/>
                <w:numId w:val="10"/>
              </w:numPr>
              <w:rPr>
                <w:rFonts w:asciiTheme="minorHAnsi" w:hAnsiTheme="minorHAnsi" w:cstheme="minorHAnsi"/>
                <w:sz w:val="22"/>
                <w:szCs w:val="22"/>
                <w:lang w:val="es-ES_tradnl"/>
              </w:rPr>
            </w:pPr>
            <w:r w:rsidRPr="008E1A1B">
              <w:rPr>
                <w:rFonts w:asciiTheme="minorHAnsi" w:hAnsiTheme="minorHAnsi" w:cstheme="minorHAnsi"/>
                <w:sz w:val="22"/>
                <w:szCs w:val="22"/>
                <w:lang w:val="es-ES_tradnl"/>
              </w:rPr>
              <w:t xml:space="preserve">Para la ejecución del mandato de la Ley, se permite una flexibilidad en la declaración tanto de la leyenda “libre de Gluten”, como del símbolo de “espiga de trigo tachada”, aceptando declaraciones similares para ambos </w:t>
            </w:r>
            <w:r w:rsidRPr="008E1A1B">
              <w:rPr>
                <w:rFonts w:asciiTheme="minorHAnsi" w:hAnsiTheme="minorHAnsi" w:cstheme="minorHAnsi"/>
                <w:sz w:val="22"/>
                <w:szCs w:val="22"/>
                <w:lang w:val="es-ES_tradnl"/>
              </w:rPr>
              <w:lastRenderedPageBreak/>
              <w:t>aspectos, atendiendo a la diversidad de leyendas y símbolos presentes actualmente en el mercado nacional e internacional que cumplen mismo objetivo sobre informar al consumidor sobre la condición de ser “libre de Gluten” de un producto alimenticio.</w:t>
            </w:r>
          </w:p>
          <w:p w:rsidR="008A699A" w:rsidRDefault="004C2CED" w:rsidP="008A699A">
            <w:pPr>
              <w:pStyle w:val="Prrafodelista"/>
              <w:numPr>
                <w:ilvl w:val="0"/>
                <w:numId w:val="10"/>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Se incorpora un rango aceptable de tamaño de símbolo, para permitir la </w:t>
            </w:r>
            <w:proofErr w:type="spellStart"/>
            <w:r>
              <w:rPr>
                <w:rFonts w:asciiTheme="minorHAnsi" w:hAnsiTheme="minorHAnsi" w:cstheme="minorHAnsi"/>
                <w:sz w:val="22"/>
                <w:szCs w:val="22"/>
                <w:lang w:val="es-ES_tradnl"/>
              </w:rPr>
              <w:t>felxibilidad</w:t>
            </w:r>
            <w:proofErr w:type="spellEnd"/>
            <w:r>
              <w:rPr>
                <w:rFonts w:asciiTheme="minorHAnsi" w:hAnsiTheme="minorHAnsi" w:cstheme="minorHAnsi"/>
                <w:sz w:val="22"/>
                <w:szCs w:val="22"/>
                <w:lang w:val="es-ES_tradnl"/>
              </w:rPr>
              <w:t xml:space="preserve"> en su ejecución, pero al mismo, cumplir con mandato de visibilidad y ubicación en la cara principal de la etiqueta, </w:t>
            </w:r>
            <w:r w:rsidR="001120B9">
              <w:rPr>
                <w:rFonts w:asciiTheme="minorHAnsi" w:hAnsiTheme="minorHAnsi" w:cstheme="minorHAnsi"/>
                <w:sz w:val="22"/>
                <w:szCs w:val="22"/>
                <w:lang w:val="es-ES_tradnl"/>
              </w:rPr>
              <w:t>en los casos en que razonablemente se pueda ejecutar, según el mandato de la Ley N° 21.362.</w:t>
            </w:r>
            <w:r>
              <w:rPr>
                <w:rFonts w:asciiTheme="minorHAnsi" w:hAnsiTheme="minorHAnsi" w:cstheme="minorHAnsi"/>
                <w:sz w:val="22"/>
                <w:szCs w:val="22"/>
                <w:lang w:val="es-ES_tradnl"/>
              </w:rPr>
              <w:t xml:space="preserve"> </w:t>
            </w:r>
          </w:p>
          <w:p w:rsidR="005E57CD" w:rsidRPr="008A699A" w:rsidRDefault="005E57CD" w:rsidP="00A57BBE">
            <w:pPr>
              <w:pStyle w:val="Prrafodelista"/>
              <w:numPr>
                <w:ilvl w:val="0"/>
                <w:numId w:val="10"/>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Se incluye la autorización expresa de sobreimpresión de etiquetado original, para facilitar la </w:t>
            </w:r>
            <w:r w:rsidR="00A57BBE">
              <w:rPr>
                <w:rFonts w:asciiTheme="minorHAnsi" w:hAnsiTheme="minorHAnsi" w:cstheme="minorHAnsi"/>
                <w:sz w:val="22"/>
                <w:szCs w:val="22"/>
                <w:lang w:val="es-ES_tradnl"/>
              </w:rPr>
              <w:t xml:space="preserve">ejecución de la regulación nacional en los productos de </w:t>
            </w:r>
            <w:r>
              <w:rPr>
                <w:rFonts w:asciiTheme="minorHAnsi" w:hAnsiTheme="minorHAnsi" w:cstheme="minorHAnsi"/>
                <w:sz w:val="22"/>
                <w:szCs w:val="22"/>
                <w:lang w:val="es-ES_tradnl"/>
              </w:rPr>
              <w:t>importación “Libres de Gluten” qu</w:t>
            </w:r>
            <w:r w:rsidR="00A57BBE">
              <w:rPr>
                <w:rFonts w:asciiTheme="minorHAnsi" w:hAnsiTheme="minorHAnsi" w:cstheme="minorHAnsi"/>
                <w:sz w:val="22"/>
                <w:szCs w:val="22"/>
                <w:lang w:val="es-ES_tradnl"/>
              </w:rPr>
              <w:t>e cumplen las disposiciones.</w:t>
            </w:r>
          </w:p>
        </w:tc>
      </w:tr>
      <w:tr w:rsidR="00D820DD" w:rsidRPr="00790513" w:rsidTr="006701A1">
        <w:tc>
          <w:tcPr>
            <w:tcW w:w="4673" w:type="dxa"/>
          </w:tcPr>
          <w:p w:rsidR="005A2A07" w:rsidRDefault="005A2A07" w:rsidP="005A2A07">
            <w:pPr>
              <w:widowControl/>
              <w:spacing w:after="160" w:line="259" w:lineRule="auto"/>
              <w:jc w:val="both"/>
              <w:rPr>
                <w:rFonts w:asciiTheme="minorHAnsi" w:eastAsiaTheme="minorHAnsi" w:hAnsiTheme="minorHAnsi" w:cstheme="minorBidi"/>
                <w:b/>
                <w:snapToGrid/>
                <w:sz w:val="22"/>
                <w:szCs w:val="22"/>
                <w:lang w:eastAsia="en-US"/>
              </w:rPr>
            </w:pPr>
          </w:p>
          <w:p w:rsidR="005A2A07" w:rsidRPr="005A2A07" w:rsidRDefault="005A2A07" w:rsidP="005A2A07">
            <w:pPr>
              <w:widowControl/>
              <w:spacing w:after="160" w:line="259" w:lineRule="auto"/>
              <w:jc w:val="both"/>
              <w:rPr>
                <w:rFonts w:asciiTheme="minorHAnsi" w:eastAsiaTheme="minorHAnsi" w:hAnsiTheme="minorHAnsi" w:cstheme="minorBidi"/>
                <w:snapToGrid/>
                <w:sz w:val="22"/>
                <w:szCs w:val="22"/>
                <w:lang w:eastAsia="en-US"/>
              </w:rPr>
            </w:pPr>
            <w:r w:rsidRPr="005A2A07">
              <w:rPr>
                <w:rFonts w:asciiTheme="minorHAnsi" w:eastAsiaTheme="minorHAnsi" w:hAnsiTheme="minorHAnsi" w:cstheme="minorBidi"/>
                <w:b/>
                <w:snapToGrid/>
                <w:sz w:val="22"/>
                <w:szCs w:val="22"/>
                <w:lang w:eastAsia="en-US"/>
              </w:rPr>
              <w:t xml:space="preserve">Artículo 109: </w:t>
            </w:r>
            <w:r w:rsidRPr="005A2A07">
              <w:rPr>
                <w:rFonts w:asciiTheme="minorHAnsi" w:eastAsiaTheme="minorHAnsi" w:hAnsiTheme="minorHAnsi" w:cstheme="minorBidi"/>
                <w:snapToGrid/>
                <w:sz w:val="22"/>
                <w:szCs w:val="22"/>
                <w:lang w:eastAsia="en-US"/>
              </w:rPr>
              <w:t xml:space="preserve">La información en el rótulo deberá estar en idioma castellano, pudiendo repetirse eventualmente en otro idioma. Los datos deberán señalarse con caracteres visibles, indelebles y fáciles de leer en circunstancias normales de compra y uso. No se permitirá sobreimpresión o cualquier modificación de la información contenida en el rótulo original, salvo autorización por escrito de la autoridad sanitaria, con las siguientes excepciones: </w:t>
            </w:r>
          </w:p>
          <w:p w:rsidR="005A2A07" w:rsidRPr="005A2A07" w:rsidRDefault="005A2A07" w:rsidP="005A2A07">
            <w:pPr>
              <w:widowControl/>
              <w:spacing w:after="160" w:line="259" w:lineRule="auto"/>
              <w:jc w:val="both"/>
              <w:rPr>
                <w:rFonts w:asciiTheme="minorHAnsi" w:eastAsiaTheme="minorHAnsi" w:hAnsiTheme="minorHAnsi" w:cstheme="minorBidi"/>
                <w:snapToGrid/>
                <w:sz w:val="22"/>
                <w:szCs w:val="22"/>
                <w:lang w:eastAsia="en-US"/>
              </w:rPr>
            </w:pPr>
            <w:r w:rsidRPr="005A2A07">
              <w:rPr>
                <w:rFonts w:asciiTheme="minorHAnsi" w:eastAsiaTheme="minorHAnsi" w:hAnsiTheme="minorHAnsi" w:cstheme="minorBidi"/>
                <w:snapToGrid/>
                <w:sz w:val="22"/>
                <w:szCs w:val="22"/>
                <w:lang w:eastAsia="en-US"/>
              </w:rPr>
              <w:t xml:space="preserve">1) Los productos importados cuya rotulación esté en otro idioma o no cumpla con las exigencias del presente reglamento en lo que a rotulación se refiere; </w:t>
            </w:r>
          </w:p>
          <w:p w:rsidR="005A2A07" w:rsidRPr="005A2A07" w:rsidRDefault="005A2A07" w:rsidP="005A2A07">
            <w:pPr>
              <w:widowControl/>
              <w:spacing w:after="160" w:line="259" w:lineRule="auto"/>
              <w:jc w:val="both"/>
              <w:rPr>
                <w:rFonts w:asciiTheme="minorHAnsi" w:eastAsiaTheme="minorHAnsi" w:hAnsiTheme="minorHAnsi" w:cstheme="minorBidi"/>
                <w:snapToGrid/>
                <w:sz w:val="22"/>
                <w:szCs w:val="22"/>
                <w:lang w:eastAsia="en-US"/>
              </w:rPr>
            </w:pPr>
            <w:r w:rsidRPr="005A2A07">
              <w:rPr>
                <w:rFonts w:asciiTheme="minorHAnsi" w:eastAsiaTheme="minorHAnsi" w:hAnsiTheme="minorHAnsi" w:cstheme="minorBidi"/>
                <w:snapToGrid/>
                <w:sz w:val="22"/>
                <w:szCs w:val="22"/>
                <w:lang w:eastAsia="en-US"/>
              </w:rPr>
              <w:t xml:space="preserve">2) Los productos que utilicen la sobreimpresión o modificación de la información en el rótulo en conformidad a las disposiciones del artículo 120 bis del presente reglamento, incluyendo el ajuste de la información nutricional que debe declararse o eliminando información incompatible con dicho descriptor, cuando corresponda. </w:t>
            </w:r>
          </w:p>
          <w:p w:rsidR="00D820DD" w:rsidRPr="00790513" w:rsidRDefault="00D820DD" w:rsidP="00D820DD">
            <w:pPr>
              <w:jc w:val="both"/>
              <w:rPr>
                <w:rFonts w:asciiTheme="minorHAnsi" w:hAnsiTheme="minorHAnsi" w:cstheme="minorHAnsi"/>
                <w:sz w:val="22"/>
                <w:szCs w:val="22"/>
              </w:rPr>
            </w:pPr>
          </w:p>
        </w:tc>
        <w:tc>
          <w:tcPr>
            <w:tcW w:w="4678" w:type="dxa"/>
          </w:tcPr>
          <w:p w:rsidR="005A2A07" w:rsidRDefault="005A2A07" w:rsidP="005A2A07">
            <w:pPr>
              <w:widowControl/>
              <w:spacing w:after="160" w:line="259" w:lineRule="auto"/>
              <w:jc w:val="both"/>
              <w:rPr>
                <w:rFonts w:asciiTheme="minorHAnsi" w:eastAsiaTheme="minorHAnsi" w:hAnsiTheme="minorHAnsi" w:cstheme="minorBidi"/>
                <w:b/>
                <w:snapToGrid/>
                <w:sz w:val="22"/>
                <w:szCs w:val="22"/>
                <w:lang w:eastAsia="en-US"/>
              </w:rPr>
            </w:pPr>
          </w:p>
          <w:p w:rsidR="005A2A07" w:rsidRPr="005A2A07" w:rsidRDefault="005A2A07" w:rsidP="005A2A07">
            <w:pPr>
              <w:widowControl/>
              <w:spacing w:after="160" w:line="259" w:lineRule="auto"/>
              <w:jc w:val="both"/>
              <w:rPr>
                <w:rFonts w:asciiTheme="minorHAnsi" w:eastAsiaTheme="minorHAnsi" w:hAnsiTheme="minorHAnsi" w:cstheme="minorBidi"/>
                <w:snapToGrid/>
                <w:sz w:val="22"/>
                <w:szCs w:val="22"/>
                <w:lang w:eastAsia="en-US"/>
              </w:rPr>
            </w:pPr>
            <w:r w:rsidRPr="005A2A07">
              <w:rPr>
                <w:rFonts w:asciiTheme="minorHAnsi" w:eastAsiaTheme="minorHAnsi" w:hAnsiTheme="minorHAnsi" w:cstheme="minorBidi"/>
                <w:b/>
                <w:snapToGrid/>
                <w:sz w:val="22"/>
                <w:szCs w:val="22"/>
                <w:lang w:eastAsia="en-US"/>
              </w:rPr>
              <w:t xml:space="preserve">Artículo 109: </w:t>
            </w:r>
            <w:r w:rsidRPr="005A2A07">
              <w:rPr>
                <w:rFonts w:asciiTheme="minorHAnsi" w:eastAsiaTheme="minorHAnsi" w:hAnsiTheme="minorHAnsi" w:cstheme="minorBidi"/>
                <w:snapToGrid/>
                <w:sz w:val="22"/>
                <w:szCs w:val="22"/>
                <w:lang w:eastAsia="en-US"/>
              </w:rPr>
              <w:t xml:space="preserve">La información en el rótulo deberá estar en idioma castellano, pudiendo repetirse eventualmente en otro idioma. Los datos deberán señalarse con caracteres visibles, indelebles y fáciles de leer en circunstancias normales de compra y uso. No se permitirá sobreimpresión o cualquier modificación de la información contenida en el rótulo original, salvo autorización por escrito de la autoridad sanitaria, con las siguientes excepciones: </w:t>
            </w:r>
          </w:p>
          <w:p w:rsidR="005A2A07" w:rsidRPr="005A2A07" w:rsidRDefault="005A2A07" w:rsidP="005A2A07">
            <w:pPr>
              <w:widowControl/>
              <w:spacing w:after="160" w:line="259" w:lineRule="auto"/>
              <w:jc w:val="both"/>
              <w:rPr>
                <w:rFonts w:asciiTheme="minorHAnsi" w:eastAsiaTheme="minorHAnsi" w:hAnsiTheme="minorHAnsi" w:cstheme="minorBidi"/>
                <w:snapToGrid/>
                <w:sz w:val="22"/>
                <w:szCs w:val="22"/>
                <w:lang w:eastAsia="en-US"/>
              </w:rPr>
            </w:pPr>
            <w:r w:rsidRPr="005A2A07">
              <w:rPr>
                <w:rFonts w:asciiTheme="minorHAnsi" w:eastAsiaTheme="minorHAnsi" w:hAnsiTheme="minorHAnsi" w:cstheme="minorBidi"/>
                <w:snapToGrid/>
                <w:sz w:val="22"/>
                <w:szCs w:val="22"/>
                <w:lang w:eastAsia="en-US"/>
              </w:rPr>
              <w:t xml:space="preserve">1) Los productos importados cuya rotulación esté en otro idioma o no cumpla con las exigencias del presente reglamento en lo que a rotulación se refiere; </w:t>
            </w:r>
          </w:p>
          <w:p w:rsidR="005A2A07" w:rsidRPr="005A2A07" w:rsidRDefault="005A2A07" w:rsidP="005A2A07">
            <w:pPr>
              <w:widowControl/>
              <w:spacing w:after="160" w:line="259" w:lineRule="auto"/>
              <w:jc w:val="both"/>
              <w:rPr>
                <w:rFonts w:asciiTheme="minorHAnsi" w:eastAsiaTheme="minorHAnsi" w:hAnsiTheme="minorHAnsi" w:cstheme="minorBidi"/>
                <w:snapToGrid/>
                <w:sz w:val="22"/>
                <w:szCs w:val="22"/>
                <w:lang w:eastAsia="en-US"/>
              </w:rPr>
            </w:pPr>
            <w:r w:rsidRPr="005A2A07">
              <w:rPr>
                <w:rFonts w:asciiTheme="minorHAnsi" w:eastAsiaTheme="minorHAnsi" w:hAnsiTheme="minorHAnsi" w:cstheme="minorBidi"/>
                <w:snapToGrid/>
                <w:sz w:val="22"/>
                <w:szCs w:val="22"/>
                <w:lang w:eastAsia="en-US"/>
              </w:rPr>
              <w:t xml:space="preserve">2) Los productos que utilicen la sobreimpresión o modificación de la información en el rótulo en conformidad a las disposiciones del artículo 120 bis del presente reglamento, incluyendo el ajuste de la información nutricional que debe declararse o eliminando información incompatible con dicho descriptor, cuando corresponda. </w:t>
            </w:r>
          </w:p>
          <w:p w:rsidR="005A2A07" w:rsidRPr="005A2A07" w:rsidRDefault="005A2A07" w:rsidP="005A2A07">
            <w:pPr>
              <w:widowControl/>
              <w:spacing w:after="160" w:line="259" w:lineRule="auto"/>
              <w:jc w:val="both"/>
              <w:rPr>
                <w:rFonts w:asciiTheme="minorHAnsi" w:eastAsiaTheme="minorHAnsi" w:hAnsiTheme="minorHAnsi" w:cstheme="minorBidi"/>
                <w:snapToGrid/>
                <w:color w:val="FF0000"/>
                <w:sz w:val="22"/>
                <w:szCs w:val="22"/>
                <w:lang w:eastAsia="en-US"/>
              </w:rPr>
            </w:pPr>
            <w:r w:rsidRPr="005A2A07">
              <w:rPr>
                <w:rFonts w:asciiTheme="minorHAnsi" w:eastAsiaTheme="minorHAnsi" w:hAnsiTheme="minorHAnsi" w:cstheme="minorBidi"/>
                <w:snapToGrid/>
                <w:color w:val="FF0000"/>
                <w:sz w:val="22"/>
                <w:szCs w:val="22"/>
                <w:lang w:eastAsia="en-US"/>
              </w:rPr>
              <w:t xml:space="preserve">3) Los productos que utilicen la sobreimpresión de la información en el rótulo en conformidad a las </w:t>
            </w:r>
            <w:r w:rsidRPr="005A2A07">
              <w:rPr>
                <w:rFonts w:asciiTheme="minorHAnsi" w:eastAsiaTheme="minorHAnsi" w:hAnsiTheme="minorHAnsi" w:cstheme="minorBidi"/>
                <w:snapToGrid/>
                <w:color w:val="FF0000"/>
                <w:sz w:val="22"/>
                <w:szCs w:val="22"/>
                <w:lang w:eastAsia="en-US"/>
              </w:rPr>
              <w:lastRenderedPageBreak/>
              <w:t>disposiciones del artículo 518, sobre productos calificados como libres de gluten.</w:t>
            </w:r>
          </w:p>
          <w:p w:rsidR="00D820DD" w:rsidRPr="005A2A07" w:rsidRDefault="00D820DD" w:rsidP="00D820DD">
            <w:pPr>
              <w:jc w:val="both"/>
              <w:rPr>
                <w:rFonts w:asciiTheme="minorHAnsi" w:hAnsiTheme="minorHAnsi" w:cstheme="minorHAnsi"/>
                <w:color w:val="FF0000"/>
                <w:sz w:val="22"/>
                <w:szCs w:val="22"/>
              </w:rPr>
            </w:pPr>
          </w:p>
        </w:tc>
        <w:tc>
          <w:tcPr>
            <w:tcW w:w="3402" w:type="dxa"/>
          </w:tcPr>
          <w:p w:rsidR="00D820DD" w:rsidRDefault="00D820DD" w:rsidP="00D820DD">
            <w:pPr>
              <w:jc w:val="both"/>
              <w:rPr>
                <w:rFonts w:asciiTheme="minorHAnsi" w:hAnsiTheme="minorHAnsi" w:cstheme="minorHAnsi"/>
                <w:sz w:val="22"/>
                <w:szCs w:val="22"/>
                <w:lang w:val="es-ES_tradnl"/>
              </w:rPr>
            </w:pPr>
          </w:p>
          <w:p w:rsidR="001120B9" w:rsidRPr="001120B9" w:rsidRDefault="005E57CD" w:rsidP="001120B9">
            <w:pPr>
              <w:pStyle w:val="Prrafodelista"/>
              <w:numPr>
                <w:ilvl w:val="0"/>
                <w:numId w:val="11"/>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Se incorpora una excepción a la solicitud obligatoria del permiso de sobreimpresión, dirigida a la Autoridad Sanitaria o Seremi de Salud correspondiente, para facilitar el cumplimiento de la regulación en productos importados</w:t>
            </w:r>
            <w:r w:rsidR="00A57BBE">
              <w:rPr>
                <w:rFonts w:asciiTheme="minorHAnsi" w:hAnsiTheme="minorHAnsi" w:cstheme="minorHAnsi"/>
                <w:sz w:val="22"/>
                <w:szCs w:val="22"/>
                <w:lang w:val="es-ES_tradnl"/>
              </w:rPr>
              <w:t xml:space="preserve"> al mercado nacional</w:t>
            </w:r>
            <w:r>
              <w:rPr>
                <w:rFonts w:asciiTheme="minorHAnsi" w:hAnsiTheme="minorHAnsi" w:cstheme="minorHAnsi"/>
                <w:sz w:val="22"/>
                <w:szCs w:val="22"/>
                <w:lang w:val="es-ES_tradnl"/>
              </w:rPr>
              <w:t>.</w:t>
            </w:r>
          </w:p>
        </w:tc>
      </w:tr>
      <w:tr w:rsidR="00D820DD" w:rsidRPr="00790513" w:rsidTr="006701A1">
        <w:tc>
          <w:tcPr>
            <w:tcW w:w="4673" w:type="dxa"/>
          </w:tcPr>
          <w:p w:rsidR="00D820DD" w:rsidRPr="00790513" w:rsidRDefault="00D820DD" w:rsidP="00D820DD">
            <w:pPr>
              <w:jc w:val="both"/>
              <w:rPr>
                <w:rFonts w:asciiTheme="minorHAnsi" w:hAnsiTheme="minorHAnsi" w:cstheme="minorHAnsi"/>
                <w:sz w:val="22"/>
                <w:szCs w:val="22"/>
                <w:lang w:val="es-ES_tradnl"/>
              </w:rPr>
            </w:pPr>
          </w:p>
        </w:tc>
        <w:tc>
          <w:tcPr>
            <w:tcW w:w="4678" w:type="dxa"/>
          </w:tcPr>
          <w:p w:rsidR="00E04618" w:rsidRPr="00E04618" w:rsidRDefault="00E04618" w:rsidP="00E04618">
            <w:pPr>
              <w:widowControl/>
              <w:spacing w:after="160" w:line="259" w:lineRule="auto"/>
              <w:rPr>
                <w:rFonts w:asciiTheme="minorHAnsi" w:eastAsiaTheme="minorHAnsi" w:hAnsiTheme="minorHAnsi" w:cstheme="minorBidi"/>
                <w:snapToGrid/>
                <w:color w:val="FF0000"/>
                <w:sz w:val="22"/>
                <w:szCs w:val="22"/>
                <w:lang w:eastAsia="en-US"/>
              </w:rPr>
            </w:pPr>
            <w:r w:rsidRPr="00E04618">
              <w:rPr>
                <w:rFonts w:asciiTheme="minorHAnsi" w:eastAsiaTheme="minorHAnsi" w:hAnsiTheme="minorHAnsi" w:cstheme="minorBidi"/>
                <w:snapToGrid/>
                <w:color w:val="FF0000"/>
                <w:sz w:val="22"/>
                <w:szCs w:val="22"/>
                <w:lang w:eastAsia="en-US"/>
              </w:rPr>
              <w:t>Artículo transitorio:</w:t>
            </w:r>
          </w:p>
          <w:p w:rsidR="00D820DD" w:rsidRPr="006701A1" w:rsidRDefault="00F80184" w:rsidP="00FC752A">
            <w:pPr>
              <w:jc w:val="both"/>
              <w:rPr>
                <w:rFonts w:asciiTheme="minorHAnsi" w:hAnsiTheme="minorHAnsi" w:cstheme="minorHAnsi"/>
                <w:color w:val="FF0000"/>
                <w:sz w:val="22"/>
                <w:szCs w:val="22"/>
              </w:rPr>
            </w:pPr>
            <w:r w:rsidRPr="00F80184">
              <w:rPr>
                <w:rFonts w:asciiTheme="minorHAnsi" w:eastAsiaTheme="minorHAnsi" w:hAnsiTheme="minorHAnsi" w:cstheme="minorBidi"/>
                <w:snapToGrid/>
                <w:color w:val="FF0000"/>
                <w:sz w:val="22"/>
                <w:szCs w:val="22"/>
                <w:lang w:eastAsia="en-US"/>
              </w:rPr>
              <w:t xml:space="preserve">El presente decreto entrará en vigor 24 meses después de su publicación en el diario oficial. Los interesados podrán solicitar, dentro de dicho plazo, autorización a la Secretaría Regional Ministerial de Salud respectiva, tanto para agotar el stock de etiquetas, como para comercializar productos en stock en bodega del comercializador, por un plazo de hasta 12 meses adicionales a la fecha de entrada en vigencia ya señalada. El cumplimiento de las disposiciones del presente decreto se exigirá a todos los productos </w:t>
            </w:r>
            <w:r>
              <w:rPr>
                <w:rFonts w:asciiTheme="minorHAnsi" w:eastAsiaTheme="minorHAnsi" w:hAnsiTheme="minorHAnsi" w:cstheme="minorBidi"/>
                <w:snapToGrid/>
                <w:color w:val="FF0000"/>
                <w:sz w:val="22"/>
                <w:szCs w:val="22"/>
                <w:lang w:eastAsia="en-US"/>
              </w:rPr>
              <w:t>fabricados o importados desde la</w:t>
            </w:r>
            <w:r w:rsidRPr="00F80184">
              <w:rPr>
                <w:rFonts w:asciiTheme="minorHAnsi" w:eastAsiaTheme="minorHAnsi" w:hAnsiTheme="minorHAnsi" w:cstheme="minorBidi"/>
                <w:snapToGrid/>
                <w:color w:val="FF0000"/>
                <w:sz w:val="22"/>
                <w:szCs w:val="22"/>
                <w:lang w:eastAsia="en-US"/>
              </w:rPr>
              <w:t xml:space="preserve"> fecha de entrada en vigencia hacia adelante, </w:t>
            </w:r>
            <w:r w:rsidR="00FC752A">
              <w:rPr>
                <w:rFonts w:asciiTheme="minorHAnsi" w:eastAsiaTheme="minorHAnsi" w:hAnsiTheme="minorHAnsi" w:cstheme="minorBidi"/>
                <w:snapToGrid/>
                <w:color w:val="FF0000"/>
                <w:sz w:val="22"/>
                <w:szCs w:val="22"/>
                <w:lang w:eastAsia="en-US"/>
              </w:rPr>
              <w:t>incluidos los</w:t>
            </w:r>
            <w:r w:rsidRPr="00F80184">
              <w:rPr>
                <w:rFonts w:asciiTheme="minorHAnsi" w:eastAsiaTheme="minorHAnsi" w:hAnsiTheme="minorHAnsi" w:cstheme="minorBidi"/>
                <w:snapToGrid/>
                <w:color w:val="FF0000"/>
                <w:sz w:val="22"/>
                <w:szCs w:val="22"/>
                <w:lang w:eastAsia="en-US"/>
              </w:rPr>
              <w:t xml:space="preserve"> envases retornables</w:t>
            </w:r>
            <w:r w:rsidR="00FC752A">
              <w:rPr>
                <w:rFonts w:asciiTheme="minorHAnsi" w:eastAsiaTheme="minorHAnsi" w:hAnsiTheme="minorHAnsi" w:cstheme="minorBidi"/>
                <w:snapToGrid/>
                <w:color w:val="FF0000"/>
                <w:sz w:val="22"/>
                <w:szCs w:val="22"/>
                <w:lang w:eastAsia="en-US"/>
              </w:rPr>
              <w:t>.</w:t>
            </w:r>
            <w:bookmarkStart w:id="0" w:name="_GoBack"/>
            <w:bookmarkEnd w:id="0"/>
          </w:p>
        </w:tc>
        <w:tc>
          <w:tcPr>
            <w:tcW w:w="3402" w:type="dxa"/>
          </w:tcPr>
          <w:p w:rsidR="00D820DD" w:rsidRDefault="00D820DD" w:rsidP="00D820DD">
            <w:pPr>
              <w:jc w:val="both"/>
              <w:rPr>
                <w:rFonts w:asciiTheme="minorHAnsi" w:hAnsiTheme="minorHAnsi" w:cstheme="minorHAnsi"/>
                <w:sz w:val="22"/>
                <w:szCs w:val="22"/>
                <w:lang w:val="es-ES_tradnl"/>
              </w:rPr>
            </w:pPr>
          </w:p>
          <w:p w:rsidR="00316C52" w:rsidRPr="00316C52" w:rsidRDefault="00316C52" w:rsidP="00316C52">
            <w:pPr>
              <w:pStyle w:val="Prrafodelista"/>
              <w:numPr>
                <w:ilvl w:val="0"/>
                <w:numId w:val="11"/>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Se establece un plazo de vacancia razonable, que permitirá a la industria de alimentos adecuar la rotulación de los productos “Libres de Gluten” que se elaboren o importen</w:t>
            </w:r>
            <w:r w:rsidR="00F92877">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a las nuev</w:t>
            </w:r>
            <w:r w:rsidR="00F92877">
              <w:rPr>
                <w:rFonts w:asciiTheme="minorHAnsi" w:hAnsiTheme="minorHAnsi" w:cstheme="minorHAnsi"/>
                <w:sz w:val="22"/>
                <w:szCs w:val="22"/>
                <w:lang w:val="es-ES_tradnl"/>
              </w:rPr>
              <w:t>as disposiciones reglamentarias, según recomendaciones de plazo realizado por representantes de la industria ali</w:t>
            </w:r>
            <w:r w:rsidR="00CD0A1B">
              <w:rPr>
                <w:rFonts w:asciiTheme="minorHAnsi" w:hAnsiTheme="minorHAnsi" w:cstheme="minorHAnsi"/>
                <w:sz w:val="22"/>
                <w:szCs w:val="22"/>
                <w:lang w:val="es-ES_tradnl"/>
              </w:rPr>
              <w:t>mentaria nacional, incluyendo la posibilidad de pedir autorización expresa de uso de stock de etiquetas o alimentos, evitando pérdidas innecesarias de dichos alimentos o envases.</w:t>
            </w:r>
          </w:p>
        </w:tc>
      </w:tr>
    </w:tbl>
    <w:p w:rsidR="009C5797" w:rsidRDefault="009C5797" w:rsidP="00566F24">
      <w:pPr>
        <w:rPr>
          <w:rFonts w:asciiTheme="minorHAnsi" w:hAnsiTheme="minorHAnsi" w:cstheme="minorHAnsi"/>
          <w:sz w:val="22"/>
          <w:szCs w:val="22"/>
          <w:lang w:val="es-ES_tradnl"/>
        </w:rPr>
      </w:pPr>
    </w:p>
    <w:p w:rsidR="006701A1" w:rsidRPr="00790513" w:rsidRDefault="006701A1" w:rsidP="00566F24">
      <w:pPr>
        <w:rPr>
          <w:rFonts w:asciiTheme="minorHAnsi" w:hAnsiTheme="minorHAnsi" w:cstheme="minorHAnsi"/>
          <w:sz w:val="22"/>
          <w:szCs w:val="22"/>
          <w:lang w:val="es-ES_tradnl"/>
        </w:rPr>
      </w:pPr>
    </w:p>
    <w:sectPr w:rsidR="006701A1" w:rsidRPr="00790513" w:rsidSect="002B260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0A8"/>
    <w:multiLevelType w:val="hybridMultilevel"/>
    <w:tmpl w:val="C36A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748D1"/>
    <w:multiLevelType w:val="hybridMultilevel"/>
    <w:tmpl w:val="889C65F4"/>
    <w:lvl w:ilvl="0" w:tplc="04090009">
      <w:start w:val="1"/>
      <w:numFmt w:val="bullet"/>
      <w:lvlText w:val=""/>
      <w:lvlJc w:val="left"/>
      <w:pPr>
        <w:tabs>
          <w:tab w:val="num" w:pos="360"/>
        </w:tabs>
        <w:ind w:left="360" w:hanging="360"/>
      </w:pPr>
      <w:rPr>
        <w:rFonts w:ascii="Wingdings" w:hAnsi="Wingdings" w:hint="default"/>
      </w:rPr>
    </w:lvl>
    <w:lvl w:ilvl="1" w:tplc="7F66CF06" w:tentative="1">
      <w:start w:val="1"/>
      <w:numFmt w:val="decimal"/>
      <w:lvlText w:val="%2."/>
      <w:lvlJc w:val="left"/>
      <w:pPr>
        <w:tabs>
          <w:tab w:val="num" w:pos="1080"/>
        </w:tabs>
        <w:ind w:left="1080" w:hanging="360"/>
      </w:pPr>
    </w:lvl>
    <w:lvl w:ilvl="2" w:tplc="CC101144" w:tentative="1">
      <w:start w:val="1"/>
      <w:numFmt w:val="decimal"/>
      <w:lvlText w:val="%3."/>
      <w:lvlJc w:val="left"/>
      <w:pPr>
        <w:tabs>
          <w:tab w:val="num" w:pos="1800"/>
        </w:tabs>
        <w:ind w:left="1800" w:hanging="360"/>
      </w:pPr>
    </w:lvl>
    <w:lvl w:ilvl="3" w:tplc="B100E2CE" w:tentative="1">
      <w:start w:val="1"/>
      <w:numFmt w:val="decimal"/>
      <w:lvlText w:val="%4."/>
      <w:lvlJc w:val="left"/>
      <w:pPr>
        <w:tabs>
          <w:tab w:val="num" w:pos="2520"/>
        </w:tabs>
        <w:ind w:left="2520" w:hanging="360"/>
      </w:pPr>
    </w:lvl>
    <w:lvl w:ilvl="4" w:tplc="A51C93B8" w:tentative="1">
      <w:start w:val="1"/>
      <w:numFmt w:val="decimal"/>
      <w:lvlText w:val="%5."/>
      <w:lvlJc w:val="left"/>
      <w:pPr>
        <w:tabs>
          <w:tab w:val="num" w:pos="3240"/>
        </w:tabs>
        <w:ind w:left="3240" w:hanging="360"/>
      </w:pPr>
    </w:lvl>
    <w:lvl w:ilvl="5" w:tplc="6ADAB8F6" w:tentative="1">
      <w:start w:val="1"/>
      <w:numFmt w:val="decimal"/>
      <w:lvlText w:val="%6."/>
      <w:lvlJc w:val="left"/>
      <w:pPr>
        <w:tabs>
          <w:tab w:val="num" w:pos="3960"/>
        </w:tabs>
        <w:ind w:left="3960" w:hanging="360"/>
      </w:pPr>
    </w:lvl>
    <w:lvl w:ilvl="6" w:tplc="4FAA8E9A" w:tentative="1">
      <w:start w:val="1"/>
      <w:numFmt w:val="decimal"/>
      <w:lvlText w:val="%7."/>
      <w:lvlJc w:val="left"/>
      <w:pPr>
        <w:tabs>
          <w:tab w:val="num" w:pos="4680"/>
        </w:tabs>
        <w:ind w:left="4680" w:hanging="360"/>
      </w:pPr>
    </w:lvl>
    <w:lvl w:ilvl="7" w:tplc="3580BFE4" w:tentative="1">
      <w:start w:val="1"/>
      <w:numFmt w:val="decimal"/>
      <w:lvlText w:val="%8."/>
      <w:lvlJc w:val="left"/>
      <w:pPr>
        <w:tabs>
          <w:tab w:val="num" w:pos="5400"/>
        </w:tabs>
        <w:ind w:left="5400" w:hanging="360"/>
      </w:pPr>
    </w:lvl>
    <w:lvl w:ilvl="8" w:tplc="20BAF31E" w:tentative="1">
      <w:start w:val="1"/>
      <w:numFmt w:val="decimal"/>
      <w:lvlText w:val="%9."/>
      <w:lvlJc w:val="left"/>
      <w:pPr>
        <w:tabs>
          <w:tab w:val="num" w:pos="6120"/>
        </w:tabs>
        <w:ind w:left="6120" w:hanging="360"/>
      </w:pPr>
    </w:lvl>
  </w:abstractNum>
  <w:abstractNum w:abstractNumId="2" w15:restartNumberingAfterBreak="0">
    <w:nsid w:val="1AA727CD"/>
    <w:multiLevelType w:val="hybridMultilevel"/>
    <w:tmpl w:val="9376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66E7"/>
    <w:multiLevelType w:val="hybridMultilevel"/>
    <w:tmpl w:val="8FB814AE"/>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2E2B"/>
    <w:multiLevelType w:val="hybridMultilevel"/>
    <w:tmpl w:val="BE9AA3E0"/>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74A06"/>
    <w:multiLevelType w:val="hybridMultilevel"/>
    <w:tmpl w:val="33E0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1747B"/>
    <w:multiLevelType w:val="hybridMultilevel"/>
    <w:tmpl w:val="BE9AA3E0"/>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14FBB"/>
    <w:multiLevelType w:val="hybridMultilevel"/>
    <w:tmpl w:val="BE9AA3E0"/>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116E7"/>
    <w:multiLevelType w:val="hybridMultilevel"/>
    <w:tmpl w:val="DEAAB666"/>
    <w:lvl w:ilvl="0" w:tplc="C82E43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D3FAD"/>
    <w:multiLevelType w:val="hybridMultilevel"/>
    <w:tmpl w:val="FE1AC06E"/>
    <w:lvl w:ilvl="0" w:tplc="C408F7A0">
      <w:start w:val="1"/>
      <w:numFmt w:val="decimal"/>
      <w:lvlText w:val="%1."/>
      <w:lvlJc w:val="left"/>
      <w:pPr>
        <w:tabs>
          <w:tab w:val="num" w:pos="720"/>
        </w:tabs>
        <w:ind w:left="720" w:hanging="360"/>
      </w:pPr>
    </w:lvl>
    <w:lvl w:ilvl="1" w:tplc="7F66CF06" w:tentative="1">
      <w:start w:val="1"/>
      <w:numFmt w:val="decimal"/>
      <w:lvlText w:val="%2."/>
      <w:lvlJc w:val="left"/>
      <w:pPr>
        <w:tabs>
          <w:tab w:val="num" w:pos="1440"/>
        </w:tabs>
        <w:ind w:left="1440" w:hanging="360"/>
      </w:pPr>
    </w:lvl>
    <w:lvl w:ilvl="2" w:tplc="CC101144" w:tentative="1">
      <w:start w:val="1"/>
      <w:numFmt w:val="decimal"/>
      <w:lvlText w:val="%3."/>
      <w:lvlJc w:val="left"/>
      <w:pPr>
        <w:tabs>
          <w:tab w:val="num" w:pos="2160"/>
        </w:tabs>
        <w:ind w:left="2160" w:hanging="360"/>
      </w:pPr>
    </w:lvl>
    <w:lvl w:ilvl="3" w:tplc="B100E2CE" w:tentative="1">
      <w:start w:val="1"/>
      <w:numFmt w:val="decimal"/>
      <w:lvlText w:val="%4."/>
      <w:lvlJc w:val="left"/>
      <w:pPr>
        <w:tabs>
          <w:tab w:val="num" w:pos="2880"/>
        </w:tabs>
        <w:ind w:left="2880" w:hanging="360"/>
      </w:pPr>
    </w:lvl>
    <w:lvl w:ilvl="4" w:tplc="A51C93B8" w:tentative="1">
      <w:start w:val="1"/>
      <w:numFmt w:val="decimal"/>
      <w:lvlText w:val="%5."/>
      <w:lvlJc w:val="left"/>
      <w:pPr>
        <w:tabs>
          <w:tab w:val="num" w:pos="3600"/>
        </w:tabs>
        <w:ind w:left="3600" w:hanging="360"/>
      </w:pPr>
    </w:lvl>
    <w:lvl w:ilvl="5" w:tplc="6ADAB8F6" w:tentative="1">
      <w:start w:val="1"/>
      <w:numFmt w:val="decimal"/>
      <w:lvlText w:val="%6."/>
      <w:lvlJc w:val="left"/>
      <w:pPr>
        <w:tabs>
          <w:tab w:val="num" w:pos="4320"/>
        </w:tabs>
        <w:ind w:left="4320" w:hanging="360"/>
      </w:pPr>
    </w:lvl>
    <w:lvl w:ilvl="6" w:tplc="4FAA8E9A" w:tentative="1">
      <w:start w:val="1"/>
      <w:numFmt w:val="decimal"/>
      <w:lvlText w:val="%7."/>
      <w:lvlJc w:val="left"/>
      <w:pPr>
        <w:tabs>
          <w:tab w:val="num" w:pos="5040"/>
        </w:tabs>
        <w:ind w:left="5040" w:hanging="360"/>
      </w:pPr>
    </w:lvl>
    <w:lvl w:ilvl="7" w:tplc="3580BFE4" w:tentative="1">
      <w:start w:val="1"/>
      <w:numFmt w:val="decimal"/>
      <w:lvlText w:val="%8."/>
      <w:lvlJc w:val="left"/>
      <w:pPr>
        <w:tabs>
          <w:tab w:val="num" w:pos="5760"/>
        </w:tabs>
        <w:ind w:left="5760" w:hanging="360"/>
      </w:pPr>
    </w:lvl>
    <w:lvl w:ilvl="8" w:tplc="20BAF31E" w:tentative="1">
      <w:start w:val="1"/>
      <w:numFmt w:val="decimal"/>
      <w:lvlText w:val="%9."/>
      <w:lvlJc w:val="left"/>
      <w:pPr>
        <w:tabs>
          <w:tab w:val="num" w:pos="6480"/>
        </w:tabs>
        <w:ind w:left="6480" w:hanging="360"/>
      </w:pPr>
    </w:lvl>
  </w:abstractNum>
  <w:abstractNum w:abstractNumId="10" w15:restartNumberingAfterBreak="0">
    <w:nsid w:val="74035F84"/>
    <w:multiLevelType w:val="multilevel"/>
    <w:tmpl w:val="F238F9D4"/>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
  </w:num>
  <w:num w:numId="3">
    <w:abstractNumId w:val="1"/>
  </w:num>
  <w:num w:numId="4">
    <w:abstractNumId w:val="3"/>
  </w:num>
  <w:num w:numId="5">
    <w:abstractNumId w:val="8"/>
  </w:num>
  <w:num w:numId="6">
    <w:abstractNumId w:val="6"/>
  </w:num>
  <w:num w:numId="7">
    <w:abstractNumId w:val="7"/>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E4"/>
    <w:rsid w:val="00012D5D"/>
    <w:rsid w:val="00036361"/>
    <w:rsid w:val="0005017E"/>
    <w:rsid w:val="000831C7"/>
    <w:rsid w:val="000D4969"/>
    <w:rsid w:val="000E21F3"/>
    <w:rsid w:val="000F3136"/>
    <w:rsid w:val="00111A36"/>
    <w:rsid w:val="001120B9"/>
    <w:rsid w:val="0011438A"/>
    <w:rsid w:val="00162EEE"/>
    <w:rsid w:val="001926EE"/>
    <w:rsid w:val="00192741"/>
    <w:rsid w:val="00195485"/>
    <w:rsid w:val="001C5DB2"/>
    <w:rsid w:val="001E1036"/>
    <w:rsid w:val="002425E4"/>
    <w:rsid w:val="00246644"/>
    <w:rsid w:val="0025719B"/>
    <w:rsid w:val="00266D57"/>
    <w:rsid w:val="00296445"/>
    <w:rsid w:val="002B2609"/>
    <w:rsid w:val="002D088F"/>
    <w:rsid w:val="00316C52"/>
    <w:rsid w:val="003647BD"/>
    <w:rsid w:val="003863A4"/>
    <w:rsid w:val="003D2ECF"/>
    <w:rsid w:val="003D4002"/>
    <w:rsid w:val="003E0874"/>
    <w:rsid w:val="004033D5"/>
    <w:rsid w:val="00413CF1"/>
    <w:rsid w:val="00424532"/>
    <w:rsid w:val="00435260"/>
    <w:rsid w:val="00454D73"/>
    <w:rsid w:val="00470BA9"/>
    <w:rsid w:val="004747B7"/>
    <w:rsid w:val="00482773"/>
    <w:rsid w:val="004C2CED"/>
    <w:rsid w:val="004D4BD1"/>
    <w:rsid w:val="004E6887"/>
    <w:rsid w:val="004F7AA2"/>
    <w:rsid w:val="0054023D"/>
    <w:rsid w:val="00541099"/>
    <w:rsid w:val="00544129"/>
    <w:rsid w:val="00566F24"/>
    <w:rsid w:val="005A2A07"/>
    <w:rsid w:val="005B3C31"/>
    <w:rsid w:val="005E274D"/>
    <w:rsid w:val="005E57CD"/>
    <w:rsid w:val="006206BE"/>
    <w:rsid w:val="00642090"/>
    <w:rsid w:val="006701A1"/>
    <w:rsid w:val="00676AB7"/>
    <w:rsid w:val="00692B4A"/>
    <w:rsid w:val="00695FC9"/>
    <w:rsid w:val="006B7C62"/>
    <w:rsid w:val="006C0788"/>
    <w:rsid w:val="006E3139"/>
    <w:rsid w:val="006F4DE8"/>
    <w:rsid w:val="007220F0"/>
    <w:rsid w:val="00731378"/>
    <w:rsid w:val="007631C2"/>
    <w:rsid w:val="00790513"/>
    <w:rsid w:val="007A7434"/>
    <w:rsid w:val="007B6179"/>
    <w:rsid w:val="00866A69"/>
    <w:rsid w:val="00874208"/>
    <w:rsid w:val="00882CE7"/>
    <w:rsid w:val="008A5E30"/>
    <w:rsid w:val="008A699A"/>
    <w:rsid w:val="008C1B97"/>
    <w:rsid w:val="008C3FDF"/>
    <w:rsid w:val="008D0604"/>
    <w:rsid w:val="008E1A1B"/>
    <w:rsid w:val="009127A6"/>
    <w:rsid w:val="00924F43"/>
    <w:rsid w:val="00941192"/>
    <w:rsid w:val="009422C1"/>
    <w:rsid w:val="009829C3"/>
    <w:rsid w:val="009871ED"/>
    <w:rsid w:val="00987C4C"/>
    <w:rsid w:val="009B019F"/>
    <w:rsid w:val="009C42EB"/>
    <w:rsid w:val="009C5797"/>
    <w:rsid w:val="009F4141"/>
    <w:rsid w:val="00A26B67"/>
    <w:rsid w:val="00A52B3A"/>
    <w:rsid w:val="00A54480"/>
    <w:rsid w:val="00A57BBE"/>
    <w:rsid w:val="00A81144"/>
    <w:rsid w:val="00AA426C"/>
    <w:rsid w:val="00AF00B5"/>
    <w:rsid w:val="00B04FE2"/>
    <w:rsid w:val="00B15DF7"/>
    <w:rsid w:val="00B31E04"/>
    <w:rsid w:val="00BC6E24"/>
    <w:rsid w:val="00BD61C2"/>
    <w:rsid w:val="00BF557B"/>
    <w:rsid w:val="00C01DDF"/>
    <w:rsid w:val="00C217B0"/>
    <w:rsid w:val="00C45473"/>
    <w:rsid w:val="00C719E0"/>
    <w:rsid w:val="00CD0A1B"/>
    <w:rsid w:val="00CD1C98"/>
    <w:rsid w:val="00CD62BB"/>
    <w:rsid w:val="00CF43D9"/>
    <w:rsid w:val="00D43541"/>
    <w:rsid w:val="00D66F6B"/>
    <w:rsid w:val="00D820DD"/>
    <w:rsid w:val="00D87D87"/>
    <w:rsid w:val="00DB5165"/>
    <w:rsid w:val="00DC1961"/>
    <w:rsid w:val="00DC1B74"/>
    <w:rsid w:val="00E04618"/>
    <w:rsid w:val="00E470D4"/>
    <w:rsid w:val="00E541AA"/>
    <w:rsid w:val="00F1111D"/>
    <w:rsid w:val="00F1716C"/>
    <w:rsid w:val="00F20EDD"/>
    <w:rsid w:val="00F42548"/>
    <w:rsid w:val="00F80184"/>
    <w:rsid w:val="00F92877"/>
    <w:rsid w:val="00FA2D71"/>
    <w:rsid w:val="00FC752A"/>
    <w:rsid w:val="00FD0887"/>
    <w:rsid w:val="00FD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49B7"/>
  <w15:chartTrackingRefBased/>
  <w15:docId w15:val="{79753E45-EF56-49D2-B0EE-4D41B295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9"/>
    <w:pPr>
      <w:widowControl w:val="0"/>
      <w:spacing w:after="0" w:line="240" w:lineRule="auto"/>
    </w:pPr>
    <w:rPr>
      <w:rFonts w:ascii="Times New Roman" w:eastAsia="Times New Roman" w:hAnsi="Times New Roman" w:cs="Times New Roman"/>
      <w:snapToGrid w:val="0"/>
      <w:sz w:val="24"/>
      <w:szCs w:val="20"/>
      <w:lang w:val="es-CL" w:eastAsia="es-ES"/>
    </w:rPr>
  </w:style>
  <w:style w:type="paragraph" w:styleId="Ttulo4">
    <w:name w:val="heading 4"/>
    <w:basedOn w:val="Normal"/>
    <w:next w:val="Normal"/>
    <w:link w:val="Ttulo4Car"/>
    <w:qFormat/>
    <w:rsid w:val="003647BD"/>
    <w:pPr>
      <w:keepNext/>
      <w:jc w:val="center"/>
      <w:outlineLvl w:val="3"/>
    </w:pPr>
    <w:rPr>
      <w:rFonts w:ascii="Arial" w:hAnsi="Arial"/>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2B2609"/>
  </w:style>
  <w:style w:type="paragraph" w:styleId="NormalWeb">
    <w:name w:val="Normal (Web)"/>
    <w:basedOn w:val="Normal"/>
    <w:uiPriority w:val="99"/>
    <w:semiHidden/>
    <w:unhideWhenUsed/>
    <w:rsid w:val="00470BA9"/>
    <w:pPr>
      <w:widowControl/>
      <w:spacing w:before="100" w:beforeAutospacing="1" w:after="100" w:afterAutospacing="1"/>
    </w:pPr>
    <w:rPr>
      <w:snapToGrid/>
      <w:szCs w:val="24"/>
      <w:lang w:val="en-US" w:eastAsia="en-US"/>
    </w:rPr>
  </w:style>
  <w:style w:type="paragraph" w:styleId="Prrafodelista">
    <w:name w:val="List Paragraph"/>
    <w:basedOn w:val="Normal"/>
    <w:uiPriority w:val="34"/>
    <w:qFormat/>
    <w:rsid w:val="00A26B67"/>
    <w:pPr>
      <w:ind w:left="720"/>
      <w:contextualSpacing/>
    </w:pPr>
  </w:style>
  <w:style w:type="character" w:customStyle="1" w:styleId="Ttulo4Car">
    <w:name w:val="Título 4 Car"/>
    <w:basedOn w:val="Fuentedeprrafopredeter"/>
    <w:link w:val="Ttulo4"/>
    <w:rsid w:val="003647BD"/>
    <w:rPr>
      <w:rFonts w:ascii="Arial" w:eastAsia="Times New Roman" w:hAnsi="Arial" w:cs="Times New Roman"/>
      <w:b/>
      <w:snapToGrid w:val="0"/>
      <w:sz w:val="24"/>
      <w:szCs w:val="20"/>
      <w:lang w:val="es-CL" w:eastAsia="es-ES"/>
    </w:rPr>
  </w:style>
  <w:style w:type="table" w:styleId="Tablaconcuadrcula">
    <w:name w:val="Table Grid"/>
    <w:basedOn w:val="Tablanormal"/>
    <w:uiPriority w:val="39"/>
    <w:rsid w:val="0098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3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1558">
      <w:bodyDiv w:val="1"/>
      <w:marLeft w:val="0"/>
      <w:marRight w:val="0"/>
      <w:marTop w:val="0"/>
      <w:marBottom w:val="0"/>
      <w:divBdr>
        <w:top w:val="none" w:sz="0" w:space="0" w:color="auto"/>
        <w:left w:val="none" w:sz="0" w:space="0" w:color="auto"/>
        <w:bottom w:val="none" w:sz="0" w:space="0" w:color="auto"/>
        <w:right w:val="none" w:sz="0" w:space="0" w:color="auto"/>
      </w:divBdr>
      <w:divsChild>
        <w:div w:id="265580294">
          <w:marLeft w:val="806"/>
          <w:marRight w:val="0"/>
          <w:marTop w:val="200"/>
          <w:marBottom w:val="0"/>
          <w:divBdr>
            <w:top w:val="none" w:sz="0" w:space="0" w:color="auto"/>
            <w:left w:val="none" w:sz="0" w:space="0" w:color="auto"/>
            <w:bottom w:val="none" w:sz="0" w:space="0" w:color="auto"/>
            <w:right w:val="none" w:sz="0" w:space="0" w:color="auto"/>
          </w:divBdr>
        </w:div>
        <w:div w:id="832069312">
          <w:marLeft w:val="806"/>
          <w:marRight w:val="0"/>
          <w:marTop w:val="200"/>
          <w:marBottom w:val="0"/>
          <w:divBdr>
            <w:top w:val="none" w:sz="0" w:space="0" w:color="auto"/>
            <w:left w:val="none" w:sz="0" w:space="0" w:color="auto"/>
            <w:bottom w:val="none" w:sz="0" w:space="0" w:color="auto"/>
            <w:right w:val="none" w:sz="0" w:space="0" w:color="auto"/>
          </w:divBdr>
        </w:div>
        <w:div w:id="1577201525">
          <w:marLeft w:val="806"/>
          <w:marRight w:val="0"/>
          <w:marTop w:val="200"/>
          <w:marBottom w:val="0"/>
          <w:divBdr>
            <w:top w:val="none" w:sz="0" w:space="0" w:color="auto"/>
            <w:left w:val="none" w:sz="0" w:space="0" w:color="auto"/>
            <w:bottom w:val="none" w:sz="0" w:space="0" w:color="auto"/>
            <w:right w:val="none" w:sz="0" w:space="0" w:color="auto"/>
          </w:divBdr>
        </w:div>
        <w:div w:id="822476932">
          <w:marLeft w:val="806"/>
          <w:marRight w:val="0"/>
          <w:marTop w:val="200"/>
          <w:marBottom w:val="0"/>
          <w:divBdr>
            <w:top w:val="none" w:sz="0" w:space="0" w:color="auto"/>
            <w:left w:val="none" w:sz="0" w:space="0" w:color="auto"/>
            <w:bottom w:val="none" w:sz="0" w:space="0" w:color="auto"/>
            <w:right w:val="none" w:sz="0" w:space="0" w:color="auto"/>
          </w:divBdr>
        </w:div>
        <w:div w:id="1066992659">
          <w:marLeft w:val="806"/>
          <w:marRight w:val="0"/>
          <w:marTop w:val="200"/>
          <w:marBottom w:val="0"/>
          <w:divBdr>
            <w:top w:val="none" w:sz="0" w:space="0" w:color="auto"/>
            <w:left w:val="none" w:sz="0" w:space="0" w:color="auto"/>
            <w:bottom w:val="none" w:sz="0" w:space="0" w:color="auto"/>
            <w:right w:val="none" w:sz="0" w:space="0" w:color="auto"/>
          </w:divBdr>
        </w:div>
        <w:div w:id="656961074">
          <w:marLeft w:val="806"/>
          <w:marRight w:val="0"/>
          <w:marTop w:val="200"/>
          <w:marBottom w:val="0"/>
          <w:divBdr>
            <w:top w:val="none" w:sz="0" w:space="0" w:color="auto"/>
            <w:left w:val="none" w:sz="0" w:space="0" w:color="auto"/>
            <w:bottom w:val="none" w:sz="0" w:space="0" w:color="auto"/>
            <w:right w:val="none" w:sz="0" w:space="0" w:color="auto"/>
          </w:divBdr>
        </w:div>
        <w:div w:id="1458915908">
          <w:marLeft w:val="806"/>
          <w:marRight w:val="0"/>
          <w:marTop w:val="200"/>
          <w:marBottom w:val="0"/>
          <w:divBdr>
            <w:top w:val="none" w:sz="0" w:space="0" w:color="auto"/>
            <w:left w:val="none" w:sz="0" w:space="0" w:color="auto"/>
            <w:bottom w:val="none" w:sz="0" w:space="0" w:color="auto"/>
            <w:right w:val="none" w:sz="0" w:space="0" w:color="auto"/>
          </w:divBdr>
        </w:div>
        <w:div w:id="1351681122">
          <w:marLeft w:val="806"/>
          <w:marRight w:val="0"/>
          <w:marTop w:val="200"/>
          <w:marBottom w:val="0"/>
          <w:divBdr>
            <w:top w:val="none" w:sz="0" w:space="0" w:color="auto"/>
            <w:left w:val="none" w:sz="0" w:space="0" w:color="auto"/>
            <w:bottom w:val="none" w:sz="0" w:space="0" w:color="auto"/>
            <w:right w:val="none" w:sz="0" w:space="0" w:color="auto"/>
          </w:divBdr>
        </w:div>
        <w:div w:id="2076124897">
          <w:marLeft w:val="806"/>
          <w:marRight w:val="0"/>
          <w:marTop w:val="200"/>
          <w:marBottom w:val="0"/>
          <w:divBdr>
            <w:top w:val="none" w:sz="0" w:space="0" w:color="auto"/>
            <w:left w:val="none" w:sz="0" w:space="0" w:color="auto"/>
            <w:bottom w:val="none" w:sz="0" w:space="0" w:color="auto"/>
            <w:right w:val="none" w:sz="0" w:space="0" w:color="auto"/>
          </w:divBdr>
        </w:div>
      </w:divsChild>
    </w:div>
    <w:div w:id="1296715290">
      <w:bodyDiv w:val="1"/>
      <w:marLeft w:val="0"/>
      <w:marRight w:val="0"/>
      <w:marTop w:val="0"/>
      <w:marBottom w:val="0"/>
      <w:divBdr>
        <w:top w:val="none" w:sz="0" w:space="0" w:color="auto"/>
        <w:left w:val="none" w:sz="0" w:space="0" w:color="auto"/>
        <w:bottom w:val="none" w:sz="0" w:space="0" w:color="auto"/>
        <w:right w:val="none" w:sz="0" w:space="0" w:color="auto"/>
      </w:divBdr>
    </w:div>
    <w:div w:id="15217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cn.cl/leychile/navegar?idNorma=1163923&amp;tipoVersion=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2199</Words>
  <Characters>12536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Cofré</dc:creator>
  <cp:keywords/>
  <dc:description/>
  <cp:lastModifiedBy>Cristian Cofré</cp:lastModifiedBy>
  <cp:revision>20</cp:revision>
  <dcterms:created xsi:type="dcterms:W3CDTF">2021-07-27T22:10:00Z</dcterms:created>
  <dcterms:modified xsi:type="dcterms:W3CDTF">2021-08-20T18:37:00Z</dcterms:modified>
</cp:coreProperties>
</file>